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أبي القاسم بن باديس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أبي القاسم بن باديس
</w:t>
      </w:r>
    </w:p>
    <w:p>
      <w:pPr/>
      <w:r>
        <w:rPr/>
        <w:t xml:space="preserve">الحسن بن أبي القاسم بن باديس. الفقيه القاضي المحدث أبو علي.</w:t>
      </w:r>
    </w:p>
    <w:p/>
    <w:p>
      <w:pPr/>
      <w:r>
        <w:rPr/>
        <w:t xml:space="preserve">توفي سنة 787 وسنه يقرب من تسعين سنة.</w:t>
      </w:r>
    </w:p>
    <w:p/>
    <w:p>
      <w:pPr/>
      <w:r>
        <w:rPr/>
        <w:t xml:space="preserve">أخذ عنه أحمد بن قنفذ القسطنطيني.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2026-07-27T13:47:40+03:00</dcterms:created>
  <dcterms:modified xsi:type="dcterms:W3CDTF">2026-07-27T13:47:40+03:00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