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سلامة
</w:t>
      </w:r>
    </w:p>
    <w:p>
      <w:pPr/>
      <w:r>
        <w:rPr/>
        <w:t xml:space="preserve">ابن سلامة  هبة الله بن سلامة بن نصر بن علي، أبو القاسم: مفسر، ضرير، من أهل بغداد. وبها وفاته. كانت له حلقة في جامع المنصور. له كتب، منها (الناسخ والمنسوخ في القرآن-ط) صغير، من رواية أبي محمد رزق الله ابن عبد الوهاب بن عبد العزيز التميمي، و (المسائل المنثورة)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سلامة أبو القاسم البغدادي الضرير
</w:t>
      </w:r>
    </w:p>
    <w:p>
      <w:pPr/>
      <w:r>
        <w:rPr/>
        <w:t xml:space="preserve">هبة الله بن سلامة أبو القاسم البغدادي الضرير المفسر كان من أحفظ الناس لتفسير القرآن وله حلقة بجامع المنصور وكان مؤلفا في التفسير وله كتاب الناسخ والمنسوخ</w:t>
      </w:r>
    </w:p>
    <w:p/>
    <w:p>
      <w:pPr/>
      <w:r>
        <w:rPr/>
        <w:t xml:space="preserve">وروى عن أبي بكر القطيعي وعنه ابن بنته رزق الله التميمي</w:t>
      </w:r>
    </w:p>
    <w:p/>
    <w:p>
      <w:pPr/>
      <w:r>
        <w:rPr/>
        <w:t xml:space="preserve">وكانت وفاة في شهر رجب سنة عشر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سلامة أبو القاسم البغدادي الضرير المفسر.
</w:t>
      </w:r>
    </w:p>
    <w:p>
      <w:pPr/>
      <w:r>
        <w:rPr/>
        <w:t xml:space="preserve">هبة الله بن سلامة أبو القاسم البغدادي الضرير المفسر. </w:t>
      </w:r>
    </w:p>
    <w:p/>
    <w:p>
      <w:pPr/>
      <w:r>
        <w:rPr/>
        <w:t xml:space="preserve">كان من أحفظ الناس لتفسير القرآن وله خلقة بجامع المنصور.</w:t>
      </w:r>
    </w:p>
    <w:p/>
    <w:p>
      <w:pPr/>
      <w:r>
        <w:rPr/>
        <w:t xml:space="preserve">روى عن أبي بكر القطيعي وعنه ابن بنته رزق الله التميمي وله كتاب الناسخ والمنسوخ مات في رجب سنة 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2026-07-27T10:51:37+03:00</dcterms:created>
  <dcterms:modified xsi:type="dcterms:W3CDTF">2026-07-27T10:51:37+03:00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