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خليفة
</w:t>
      </w:r>
    </w:p>
    <w:p>
      <w:pPr/>
      <w:r>
        <w:rPr/>
        <w:t xml:space="preserve">عبد الله بن خليفة الطائي. روى عن عمر وعبد الله.</w:t>
      </w:r>
    </w:p>
    <w:p/>
    <w:p>
      <w:pPr/>
      <w:r>
        <w:rPr/>
        <w:t xml:space="preserve">قال: أخبرنا عبيد الله بن موسى قال: أخبرنا إسرائيل عن أبي إسحاق عن عبد الله بن خليفة عن عمر وعبد الله قالا: صلاة العصر ما يسير الراكب فرسخين والماشي فرسخا.</w:t>
      </w:r>
    </w:p>
    <w:p/>
    <w:p>
      <w:pPr/>
      <w:r>
        <w:rPr/>
        <w:t xml:space="preserve">قال أبو قطن عن شعبة عن أبي إسحاق عن عبد الله بن خليفة: إن شسع عمر انقطع فاسترجع. قال قلت: يا أمير المؤمنين.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2026-05-19T14:46:49+03:00</dcterms:created>
  <dcterms:modified xsi:type="dcterms:W3CDTF">2026-05-19T14:46:49+03:00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