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 بن 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تميم بن أسد
</w:t>
      </w:r>
    </w:p>
    <w:p>
      <w:pPr/>
      <w:r>
        <w:rPr/>
        <w:t xml:space="preserve">تميم بن أسد بن سويد بن أسعد بن مشنوء بن عبد بن حبتر من خزاعة.</w:t>
      </w:r>
    </w:p>
    <w:p/>
    <w:p>
      <w:pPr/>
      <w:r>
        <w:rPr/>
        <w:t xml:space="preserve">وكان شاعرا. وأمره النبي - صلى الله عليه وسلم - يوم فتح مكة أن يجدد أنصاب الحرم.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2026-07-26T03:52:12+03:00</dcterms:created>
  <dcterms:modified xsi:type="dcterms:W3CDTF">2026-07-26T03:52:12+03:00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