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النيسابوري
</w:t>
      </w:r>
    </w:p>
    <w:p>
      <w:pPr>
        <w:jc w:val="start"/>
        <w:bidi/>
      </w:pPr>
      <w:r>
        <w:rPr>
          <w:rFonts w:ascii="arial" w:hAnsi="arial" w:eastAsia="arial" w:cs="arial"/>
          <w:sz w:val="28"/>
          <w:szCs w:val="28"/>
          <w:b w:val="1"/>
          <w:bCs w:val="1"/>
          <w:rtl/>
        </w:rPr>
        <w:t xml:space="preserve">النيسابوري
</w:t>
      </w:r>
    </w:p>
    <w:p>
      <w:pPr/>
      <w:r>
        <w:rPr/>
        <w:t xml:space="preserve">النيسابوري  ناصر بن سلمان بن ناصر بن عمرالن، ابو الفتح بن ابي القاسم الانصاري النيستبوري: كاتب مترسل من فقهاء الشافعية. استكتبه سنجر إلى الملوك. وبرع في علم (الكلام) وصنف (كتابا) فيه. توفى بمرو. </w:t>
      </w:r>
    </w:p>
    <w:p>
      <w:pPr>
        <w:jc w:val="start"/>
        <w:bidi/>
      </w:pPr>
      <w:r>
        <w:rPr>
          <w:sz w:val="24"/>
          <w:szCs w:val="24"/>
          <w:b w:val="1"/>
          <w:bCs w:val="1"/>
          <w:rtl/>
        </w:rPr>
        <w:t xml:space="preserve">
الأعلام،(دار العلم للملايين - بيروت،2002،ط 15،ج 7،ص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بن سلمان بن ناصر بن عمران بن محمد أبو الفتح بن أبي القاسم الأنصاري النيسابوري
</w:t>
      </w:r>
    </w:p>
    <w:p>
      <w:pPr/>
      <w:r>
        <w:rPr/>
        <w:t xml:space="preserve">ناصر بن سلمان بن ناصر بن عمران بن محمد أبو الفتح بن أبي القاسم الأنصاري النيسابوري مولده سنة تسع وثمانين وأربعمائة</w:t>
      </w:r>
    </w:p>
    <w:p/>
    <w:p>
      <w:pPr/>
      <w:r>
        <w:rPr/>
        <w:t xml:space="preserve">سمع أباه وأبا الحسن المديني المؤذن والفضل بن عبد الواحد التاجر وغيرهم</w:t>
      </w:r>
    </w:p>
    <w:p/>
    <w:p>
      <w:pPr/>
      <w:r>
        <w:rPr/>
        <w:t xml:space="preserve">روى عنه أبو سعد بن السمعاني وولده عبد الرحيم بن أبي سعد</w:t>
      </w:r>
    </w:p>
    <w:p/>
    <w:p>
      <w:pPr/>
      <w:r>
        <w:rPr/>
        <w:t xml:space="preserve">قال أبو سعد كان إماما مناظرا بارعا في الكلام حاز قصب السبق فيه على أقرانه وصار في عصره أوحد ميدانه وصنف التصانيف وترسل من جهة السلطان سنجر إلى الملوك وكان صاحب أوقاف الممالك وكان لا يتورع عن مال الوقف</w:t>
      </w:r>
    </w:p>
    <w:p/>
    <w:p>
      <w:pPr/>
      <w:r>
        <w:rPr/>
        <w:t xml:space="preserve">مات في جمادى الأولى سنة اثنتين وخمسين وخمسمائة بمرو</w:t>
      </w:r>
    </w:p>
    <w:p>
      <w:pPr>
        <w:jc w:val="start"/>
        <w:bidi/>
      </w:pPr>
      <w:r>
        <w:rPr>
          <w:sz w:val="24"/>
          <w:szCs w:val="24"/>
          <w:b w:val="1"/>
          <w:bCs w:val="1"/>
          <w:rtl/>
        </w:rPr>
        <w:t xml:space="preserve">
طبقات الشافعية الكبرى،(دار هجر - القاهرة،1992،ط 2،ج 7،ص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بن سليمان بن ناصر أبو الفتح بن أبي القاسم الأنصاري
</w:t>
      </w:r>
    </w:p>
    <w:p>
      <w:pPr/>
      <w:r>
        <w:rPr/>
        <w:t xml:space="preserve">ناصر بن سليمان بن ناصر أبو الفتح بن أبي القاسم الأنصاري </w:t>
      </w:r>
    </w:p>
    <w:p/>
    <w:p>
      <w:pPr/>
      <w:r>
        <w:rPr/>
        <w:t xml:space="preserve">قال ابن السمعاني: كان إماماً مناظراً بارعاً في الكلام، وكان صاحب أوقاف الممالك. سمع أباه وغيره. مات بمرو سنة اثنين وخمسين وخمسمائة وعنه عبد الرحيم بن السمعاني.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2026-07-27T13:36:45+03:00</dcterms:created>
  <dcterms:modified xsi:type="dcterms:W3CDTF">2026-07-27T13:36:45+03:00</dcterms:modified>
</cp:coreProperties>
</file>

<file path=docProps/custom.xml><?xml version="1.0" encoding="utf-8"?>
<Properties xmlns="http://schemas.openxmlformats.org/officeDocument/2006/custom-properties" xmlns:vt="http://schemas.openxmlformats.org/officeDocument/2006/docPropsVTypes"/>
</file>