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عمران
</w:t>
      </w:r>
    </w:p>
    <w:p>
      <w:pPr>
        <w:jc w:val="start"/>
        <w:bidi/>
      </w:pPr>
      <w:r>
        <w:rPr>
          <w:rFonts w:ascii="arial" w:hAnsi="arial" w:eastAsia="arial" w:cs="arial"/>
          <w:sz w:val="28"/>
          <w:szCs w:val="28"/>
          <w:b w:val="1"/>
          <w:bCs w:val="1"/>
          <w:rtl/>
        </w:rPr>
        <w:t xml:space="preserve">ميمون بن عمران
</w:t>
      </w:r>
    </w:p>
    <w:p>
      <w:pPr/>
      <w:r>
        <w:rPr/>
        <w:t xml:space="preserve">ميمون بن عمران  ميمون بن عمران: رأس الفرقة (الميمونية) وهي من فرق (العجاردة) هؤلاء من (العطوية) اصحاب عطية بن الاسود، من الخوارج. قال الشهرستاني: (انفرد ميمون عن العجاردة بإثبات القدر خيره وشره من العبد، واثبات الفعل للعبد خلقا وابداعا، واثبات الاستطاعة قبل الفعل، والقول بأن الله تعالى يريد الخير دون الشر، وليس له مشيئة في معاصي العباد) واشار المقريزي إلى ان (الازارقة) كانوا يستحلون اموال المخالفين لهم، وقال: (ولم تستحل الميمونية مال احد خالفهم ما لم يقتل، فاذا قتل صار ماله فيئا) وتنسب اليهم اقوال اخرى شنيعة، منها ان سورة (يوسف) ليست من القرآن. </w:t>
      </w:r>
    </w:p>
    <w:p>
      <w:pPr>
        <w:jc w:val="start"/>
        <w:bidi/>
      </w:pPr>
      <w:r>
        <w:rPr>
          <w:sz w:val="24"/>
          <w:szCs w:val="24"/>
          <w:b w:val="1"/>
          <w:bCs w:val="1"/>
          <w:rtl/>
        </w:rPr>
        <w:t xml:space="preserve">
الأعلام،(دار العلم للملايين - بيروت،2002،ط 15،ج 7،ص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2026-05-12T18:57:11+03:00</dcterms:created>
  <dcterms:modified xsi:type="dcterms:W3CDTF">2026-05-12T18:57:11+03:00</dcterms:modified>
</cp:coreProperties>
</file>

<file path=docProps/custom.xml><?xml version="1.0" encoding="utf-8"?>
<Properties xmlns="http://schemas.openxmlformats.org/officeDocument/2006/custom-properties" xmlns:vt="http://schemas.openxmlformats.org/officeDocument/2006/docPropsVTypes"/>
</file>