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القداح
</w:t>
      </w:r>
    </w:p>
    <w:p>
      <w:pPr>
        <w:jc w:val="start"/>
        <w:bidi/>
      </w:pPr>
      <w:r>
        <w:rPr>
          <w:rFonts w:ascii="arial" w:hAnsi="arial" w:eastAsia="arial" w:cs="arial"/>
          <w:sz w:val="28"/>
          <w:szCs w:val="28"/>
          <w:b w:val="1"/>
          <w:bCs w:val="1"/>
          <w:rtl/>
        </w:rPr>
        <w:t xml:space="preserve">القداح
</w:t>
      </w:r>
    </w:p>
    <w:p>
      <w:pPr/>
      <w:r>
        <w:rPr/>
        <w:t xml:space="preserve">القداح  ميمون بن داود بن سعيد، القداح: رأس الفرقة (الميمونية) من الاسماعيلية. في نسبه وسيرته اضطراب، قيل: اسم أبيه ديصان، أو غيلان. وفى الاسماعيلية من ينسبه إلى سلمان الفارسى. كان يظهر التشيع ويبطن الزندقة. ولد بمكة وانتقل إلى الاهواز. واتصل بمحمد الباقر وابنه جعفر الصادق. روى عنهما. ويقال: إنه أدرك محمد ابن إسماعيل بن جعفر، وأدبه ولقنه مذهب الباطنية وتوجه به إلى طبرستان ففلسطين. واستقر في سلمية (بسورية) حيث ألف كتابيه (الميزان) و (الهداية) وتوفى بها. ويرى الاسماعيلية أنه كان بصيرا بالفلسفة اليونانية، وعمل على إدخالها في المذهب. وهو الذى قيل إن الخلفاء الفاطميين في المغرب، من نسله. ولم يصح هذا.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2026-07-27T17:44:06+03:00</dcterms:created>
  <dcterms:modified xsi:type="dcterms:W3CDTF">2026-07-27T17:44:06+03:00</dcterms:modified>
</cp:coreProperties>
</file>

<file path=docProps/custom.xml><?xml version="1.0" encoding="utf-8"?>
<Properties xmlns="http://schemas.openxmlformats.org/officeDocument/2006/custom-properties" xmlns:vt="http://schemas.openxmlformats.org/officeDocument/2006/docPropsVTypes"/>
</file>