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الأشعر بن خليف
</w:t>
      </w:r>
    </w:p>
    <w:p>
      <w:pPr>
        <w:jc w:val="start"/>
        <w:bidi/>
      </w:pPr>
      <w:r>
        <w:rPr>
          <w:rFonts w:ascii="arial" w:hAnsi="arial" w:eastAsia="arial" w:cs="arial"/>
          <w:sz w:val="28"/>
          <w:szCs w:val="28"/>
          <w:b w:val="1"/>
          <w:bCs w:val="1"/>
          <w:rtl/>
        </w:rPr>
        <w:t xml:space="preserve">خالد الأشعر بن خليف
</w:t>
      </w:r>
    </w:p>
    <w:p>
      <w:pPr/>
      <w:r>
        <w:rPr/>
        <w:t xml:space="preserve">خالد الأشعر بن خليف بن منقذ بن ربيعة بن أصرم بن ضبيس بن حرام بن حبشية بن كعب بن عمرو. وهو جد حزام بن هشام بن خالد الكعبي الذي روى عنه محمد بن عمر وعبد الله بن مسلمة بن قعنب وأبو النضر هاشم بن القاسم. وكان حزام ينزل قديدا. وأسلم خالد الأشعر قبل فتح مكة وشهد مع رسول الله - صلى الله عليه وسلم - الفتح فسلك هو وكرز بن جابر غير طريق رسول الله - صلى الله عليه وسلم - التي دخل منها مكة. فأخطأ الطريق. ولقيتهما خيل المشركين فقتلا شهيدين. وكان الذي قتل خالد الأشعر ابن أبي الأجدع الجمحي. وكان هشام بن محمد بن السائب يقول: هو حبيش بن خالد الأشعر.</w:t>
      </w:r>
    </w:p>
    <w:p>
      <w:pPr>
        <w:jc w:val="start"/>
        <w:bidi/>
      </w:pPr>
      <w:r>
        <w:rPr>
          <w:sz w:val="24"/>
          <w:szCs w:val="24"/>
          <w:b w:val="1"/>
          <w:bCs w:val="1"/>
          <w:rtl/>
        </w:rPr>
        <w:t xml:space="preserve">
الطبقات الكبرى،(دار الكتب العلمية - بيروت،1990،ط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2026-07-27T11:12:16+03:00</dcterms:created>
  <dcterms:modified xsi:type="dcterms:W3CDTF">2026-07-27T11:12:16+03:00</dcterms:modified>
</cp:coreProperties>
</file>

<file path=docProps/custom.xml><?xml version="1.0" encoding="utf-8"?>
<Properties xmlns="http://schemas.openxmlformats.org/officeDocument/2006/custom-properties" xmlns:vt="http://schemas.openxmlformats.org/officeDocument/2006/docPropsVTypes"/>
</file>