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المنتخب بن أبي العز رشيد منتجب الدين أبو يوسف الهمذاني
</w:t>
      </w:r>
    </w:p>
    <w:p>
      <w:pPr>
        <w:jc w:val="start"/>
        <w:bidi/>
      </w:pPr>
      <w:r>
        <w:rPr>
          <w:rFonts w:ascii="arial" w:hAnsi="arial" w:eastAsia="arial" w:cs="arial"/>
          <w:sz w:val="28"/>
          <w:szCs w:val="28"/>
          <w:b w:val="1"/>
          <w:bCs w:val="1"/>
          <w:rtl/>
        </w:rPr>
        <w:t xml:space="preserve">المنتخب بن أبي العز رشيد منتجب الدين أبو يوسف الهمذاني
</w:t>
      </w:r>
    </w:p>
    <w:p>
      <w:pPr/>
      <w:r>
        <w:rPr/>
        <w:t xml:space="preserve">المنتخب بن أبي العز رشيد منتجب الدين أبو يوسف الهمذاني. إمام كامل علامة.</w:t>
      </w:r>
    </w:p>
    <w:p/>
    <w:p>
      <w:pPr/>
      <w:r>
        <w:rPr/>
        <w:t xml:space="preserve">قال الذهبي: كان رأسا في القراءات، والعربية، صالحا متواضعا، صوفيا.</w:t>
      </w:r>
    </w:p>
    <w:p/>
    <w:p>
      <w:pPr/>
      <w:r>
        <w:rPr/>
        <w:t xml:space="preserve">قرأ على أبي الجود بمصر سنة ثمان وتسعين وخمسمائة، وسمع بدمشق أبا اليمن الكندي، وقرأ عليه، و «شرح الشاطبية» شرحا لا بأس به، و «أعرب القرآن العظيم» إعرابا متوسطا، و «شرح المفصل للزمخشري» وأجاد فيه.</w:t>
      </w:r>
    </w:p>
    <w:p/>
    <w:p>
      <w:pPr/>
      <w:r>
        <w:rPr/>
        <w:t xml:space="preserve">وذكره في «تاريخ الإسلام» فقال: كان سوقه كاسدا مع وجود السخاوي، وذكره أبو شامة في «الذيل» فقال: كان مقرئا مجودا، وانتفع بشيخنا السخاوي في معرفة قصيد الشاطبي، ثم تعانى القصيد فخاض بحرا عجز فيه عن سباحته وجحد حق تعظيم شيخنا له وإفادته.</w:t>
      </w:r>
    </w:p>
    <w:p/>
    <w:p>
      <w:pPr/>
      <w:r>
        <w:rPr/>
        <w:t xml:space="preserve">قال الذهبي: سمعت النظام التبريزي يقول: قرأت القرآن بأربع روايات على المنتجب وكنت أقرأ خفية من شيخنا السخاوي، لأن من كان يقرأ على السخاوي لا يجسر أن يقرأ على المنتخب، فتكلم في بعض الطلبة عند السخاوي، فقال الشيخ: هذا ما هو مثل غيره، هذا يقرأ ويروح وما يكثر فضولا، وسامحني الشيخ علم الدين دون غيري.</w:t>
      </w:r>
    </w:p>
    <w:p/>
    <w:p>
      <w:pPr/>
      <w:r>
        <w:rPr/>
        <w:t xml:space="preserve">قال ابن الجزري: وفي شرحه القصيد مواضع بعيدة عن التحقيق، وذلك أنه لم يقرأ بها على الناظم ولا على من قرأ عليه.</w:t>
      </w:r>
    </w:p>
    <w:p/>
    <w:p>
      <w:pPr/>
      <w:r>
        <w:rPr/>
        <w:t xml:space="preserve">وكان شيخ الإقراء بالتربة الزنجيلية جوار دار الطعم بدمشق.</w:t>
      </w:r>
    </w:p>
    <w:p/>
    <w:p>
      <w:pPr/>
      <w:r>
        <w:rPr/>
        <w:t xml:space="preserve">قرأ عليه الصائن محمد بن الزين الضرير، والنظام محمد بن عبد الكريم التبريزي، وعبد الولي بن عبد الرحمن بن محمد المقدسي. توفي في ربيع الأول سنة ثلاث وأربعين وستمائة بدمشق.</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2026-05-24T20:16:55+03:00</dcterms:created>
  <dcterms:modified xsi:type="dcterms:W3CDTF">2026-05-24T20:16:55+03:00</dcterms:modified>
</cp:coreProperties>
</file>

<file path=docProps/custom.xml><?xml version="1.0" encoding="utf-8"?>
<Properties xmlns="http://schemas.openxmlformats.org/officeDocument/2006/custom-properties" xmlns:vt="http://schemas.openxmlformats.org/officeDocument/2006/docPropsVTypes"/>
</file>