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عمرو أبو جعفر الهروي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عمرو أبو جعفر الهروي
</w:t>
      </w:r>
    </w:p>
    <w:p>
      <w:pPr/>
      <w:r>
        <w:rPr/>
        <w:t xml:space="preserve">محمد بن عبد الله بن عمرو أبو جعفر الهروي. الفقيه صاحب «التفسير».....</w:t>
      </w:r>
    </w:p>
    <w:p/>
    <w:p>
      <w:pPr/>
      <w:r>
        <w:rPr/>
        <w:t xml:space="preserve">مات سنة إحدى وثمانين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للداوودي،(دار الكتب العلمية - بيروت،0000،ط 0،ج 2،ص 165)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عمرو أبو جعفر الهروي الفقيه صاحب التفسير.
</w:t>
      </w:r>
    </w:p>
    <w:p>
      <w:pPr/>
      <w:r>
        <w:rPr/>
        <w:t xml:space="preserve">محمد بن عبد الله بن عمرو أبو جعفر الهروي الفقيه صاحب التفسير. </w:t>
      </w:r>
    </w:p>
    <w:p/>
    <w:p>
      <w:pPr/>
      <w:r>
        <w:rPr/>
        <w:t xml:space="preserve">مات سنة إحدى وثمانين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للسيوطي،(مكتبة وهبة - القاهرة،1976،ط 1،ج 1،ص 111)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2026-07-27T13:49:41+03:00</dcterms:created>
  <dcterms:modified xsi:type="dcterms:W3CDTF">2026-07-27T13:49:41+03:00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