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عمر بن أبي بكر بن إسماعيل البريهي ثم السكسكي أبو محمد
</w:t>
      </w:r>
    </w:p>
    <w:p>
      <w:pPr>
        <w:jc w:val="start"/>
        <w:bidi/>
      </w:pPr>
      <w:r>
        <w:rPr>
          <w:rFonts w:ascii="arial" w:hAnsi="arial" w:eastAsia="arial" w:cs="arial"/>
          <w:sz w:val="28"/>
          <w:szCs w:val="28"/>
          <w:b w:val="1"/>
          <w:bCs w:val="1"/>
          <w:rtl/>
        </w:rPr>
        <w:t xml:space="preserve">عبد الله بن محمد بن عمر بن أبي بكر بن إسماعيل البريهي ثم السكسكي أبو محمد
</w:t>
      </w:r>
    </w:p>
    <w:p>
      <w:pPr/>
      <w:r>
        <w:rPr/>
        <w:t xml:space="preserve">عبد الله بن محمد بن عمر بن أبي بكر بن إسماعيل البريهي ثم السكسكي أبو محمد. قال الخزرجي: كان متفننا في العلوم، عارفا بالحديث والتفسير والفقه، والنحو واللغة، والتصوف، ورعا صالحا، زاهدا عابدا صوفيا، له كرامات، سهل الأخلاق، مبارك التدريس، عظيم الصبر على الطلبة، كثير الحج. مات في المحرم سنة أربع وستين وسبعمائة.</w:t>
      </w:r>
    </w:p>
    <w:p>
      <w:pPr>
        <w:jc w:val="start"/>
        <w:bidi/>
      </w:pPr>
      <w:r>
        <w:rPr>
          <w:sz w:val="24"/>
          <w:szCs w:val="24"/>
          <w:b w:val="1"/>
          <w:bCs w:val="1"/>
          <w:rtl/>
        </w:rPr>
        <w:t xml:space="preserve">
طبقات المفسرين للداوودي،(دار الكتب العلمية - بيروت،0000،ط 0،ج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2026-07-27T11:35:31+03:00</dcterms:created>
  <dcterms:modified xsi:type="dcterms:W3CDTF">2026-07-27T11:35:31+03:00</dcterms:modified>
</cp:coreProperties>
</file>

<file path=docProps/custom.xml><?xml version="1.0" encoding="utf-8"?>
<Properties xmlns="http://schemas.openxmlformats.org/officeDocument/2006/custom-properties" xmlns:vt="http://schemas.openxmlformats.org/officeDocument/2006/docPropsVTypes"/>
</file>