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الأسفرايني، صدر الدين محمد بن محمد
</w:t>
      </w:r>
    </w:p>
    <w:p>
      <w:pPr>
        <w:jc w:val="start"/>
        <w:bidi/>
      </w:pPr>
      <w:r>
        <w:rPr>
          <w:rFonts w:ascii="arial" w:hAnsi="arial" w:eastAsia="arial" w:cs="arial"/>
          <w:sz w:val="28"/>
          <w:szCs w:val="28"/>
          <w:b w:val="1"/>
          <w:bCs w:val="1"/>
          <w:rtl/>
        </w:rPr>
        <w:t xml:space="preserve">الأسفرايني، صدر الدين محمد بن محمد
</w:t>
      </w:r>
    </w:p>
    <w:p>
      <w:pPr/>
      <w:r>
        <w:rPr/>
        <w:t xml:space="preserve">الأسفرايني، صدر الدين محمد بن محمد محمد بن محمد بن علي بن محمد بن علي العلامة صدر الدين القرشي العكاشي الأسدي الرواسي الشقاني الأسفرايني الشافعي. ولد في صفر سنة ثمان وتسعين وسبعمائة. وسمع الحديث من الشمس ابن الجزري. واشتغل بأنواع العلوم من الفقه والأصلين، والقراآت والنحو، والصرف، والمعاني والبيان، والمنطق والهيئة. وصنف تصانيف منها: ’’ حاشية على تفسير البيضاوي ’’، و ’’ حاشية على الحاوي في الفقه ’’، و ’’ رسالة في رد مذهب الإتحاد ’’، وغير ذلك. لقيه البقاعي بمكة سنة تسع وأربعين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علي بن محمد بن علي الشيخ الإمام العلامة صدر الدين بن شمس الدين الرواسي
</w:t>
      </w:r>
    </w:p>
    <w:p>
      <w:pPr/>
      <w:r>
        <w:rPr/>
        <w:t xml:space="preserve">محمد بن محمد بن علي بن محمد بن علي الشيخ الإمام العلامة صدر الدين بن شمس الدين الرواسي. بفتح المهملة وتشديد الواو وآخره مهملة، العكاشي، الأسدي، القرشي، الشقاني- بكسر المعجمة وتشديد القاف وآخره نون- الإسفرايني.</w:t>
      </w:r>
    </w:p>
    <w:p/>
    <w:p>
      <w:pPr/>
      <w:r>
        <w:rPr/>
        <w:t xml:space="preserve">من بلاد خراسان.</w:t>
      </w:r>
    </w:p>
    <w:p/>
    <w:p>
      <w:pPr/>
      <w:r>
        <w:rPr/>
        <w:t xml:space="preserve">الشافعي مذهبا، السهروردي، القادري تصوفا.</w:t>
      </w:r>
    </w:p>
    <w:p/>
    <w:p>
      <w:pPr/>
      <w:r>
        <w:rPr/>
        <w:t xml:space="preserve">والرواسي نسبة إلى شخص من أجداده.</w:t>
      </w:r>
    </w:p>
    <w:p/>
    <w:p>
      <w:pPr/>
      <w:r>
        <w:rPr/>
        <w:t xml:space="preserve">ولد في صفر سنة ثمان وتسعين وسبعمائة بشقان، قصبة من بلاد خراسان، وحفظ القرآن، وتلا بالعشر على المولى يوسف الهروي، تلميذ العلامة شمس الدين بن الجزري.</w:t>
      </w:r>
    </w:p>
    <w:p/>
    <w:p>
      <w:pPr/>
      <w:r>
        <w:rPr/>
        <w:t xml:space="preserve">وأخذ الفقه في مذهب الشافعي عن خاله الشيخ محمد الرواسي، والمولى سعد الدين الفارسي، تلميذ السيد الشريف.</w:t>
      </w:r>
    </w:p>
    <w:p/>
    <w:p>
      <w:pPr/>
      <w:r>
        <w:rPr/>
        <w:t xml:space="preserve">وفقه الحنفية عن خاله المذكور، وسمع الحديث من والده، ومن الشمس الجزري والزين الخافي.</w:t>
      </w:r>
    </w:p>
    <w:p/>
    <w:p>
      <w:pPr/>
      <w:r>
        <w:rPr/>
        <w:t xml:space="preserve">وأخذ التفسير عن خاله، والسعد المذكورين أولا، والنحو، والصرف، والمعاني، والبيان، عنهما.</w:t>
      </w:r>
    </w:p>
    <w:p/>
    <w:p>
      <w:pPr/>
      <w:r>
        <w:rPr/>
        <w:t xml:space="preserve">وأصول الفقه عن خاله، وكذا أصول الدين، والمنطق، والهيئة، عن خاله، والسعد، وانتفع بهما كثيرا في غير ذلك من العلوم.</w:t>
      </w:r>
    </w:p>
    <w:p/>
    <w:p>
      <w:pPr/>
      <w:r>
        <w:rPr/>
        <w:t xml:space="preserve">قال البقاعي: لقيته يوم الأحد رابع عشر ربيع الأول سنة تسع وأربعين وثمانمائة بالمدرسة الباسطية جوار المسجد الحرام، فإذا هو شيخ حسن الهيئة، منور الشيبة، جميل المرأى، ظاهر البشاشة، عذب الكلام، واضح الفضيلة في عدة فنون فسمعت من لفظه في ذلك المجلس «رسالته في الرد على الملاحدة» المسماة «منهج اقتصاد الاعتقاد».</w:t>
      </w:r>
    </w:p>
    <w:p/>
    <w:p>
      <w:pPr/>
      <w:r>
        <w:rPr/>
        <w:t xml:space="preserve">وصنف تصانيف منها: «الفتوحات الرجبية» تشمل على تحقيقات في معاني بعض الآيات والأحاديث وأقوال بعض المشايخ، فاضت على قلبه في خلوة اختلاها ومنها «الواردات الرجبية» تشتمل على مثل ذلك في خلوة أخرى، ومنها «ضوابط العبادات» تشتمل على الحكم في كون الصلوات خمسا، وكون الأوقات كذلك، وكون الصبح ركعتين، والظهر أربعا، ونحو ذلك، وكذا في الطهارة والزكاة والحج وغير ذلك من أبواب الفقه، ومنها «تصحيح القراءة» يشتمل على الرد على من أنكر على بعض تلامذته القراءة بما زاد على «الشاطبية» وبين طرقا غيرها بأسانيدها واعترض على بعض حروف في طرق الشاطبية، ومنها «الرسالة العلمية» تشتمل على أقسام تعاريف العلم، بما في ذلك من الاعتراضات والأجوبة وبيان القيود، وترجيح ما هو مرجح منها، أوصلها إلى نيف وثلاثين تعريفا، ومنها «الحاشية على أوائل الحاوي» في الفقه، ومنها «حواش على أوائل البيضاوي»، ومنها رسالة سماها «منهج اقتصاد الاعتقاد في رد مذهب الإلحاد» في نحو نصف كراس.</w:t>
      </w:r>
    </w:p>
    <w:p/>
    <w:p>
      <w:pPr/>
      <w:r>
        <w:rPr/>
        <w:t xml:space="preserve">قال البقاعي: سمعتها جميعها من لفظه أول يوم اجتمعت به كما مضى، وهي في غاية الإيجاز والإبداع، كتبها مجيبا لسؤال البدر محمود بن عبيد الله، لما أرسله الظاهر جقمق إلى حلب، لقتل من يعثر عليه من النسيمية الذين ظهروا هناك سنة ثمان وأربعين، ومنها «رسالة في ثماني عشرة مسألة» كل مسألة من علم، ومنها «النكت القرآنية على سورة ق»، ومنها «الرسالة الفتحية في تفسير أوائل سورة الفتح».</w:t>
      </w:r>
    </w:p>
    <w:p/>
    <w:p>
      <w:pPr/>
      <w:r>
        <w:rPr/>
        <w:t xml:space="preserve">قال البقاعي: هكذا أملاني. وقال: وغير ذلك بكثرة.</w:t>
      </w:r>
    </w:p>
    <w:p>
      <w:pPr>
        <w:jc w:val="start"/>
        <w:bidi/>
      </w:pPr>
      <w:r>
        <w:rPr>
          <w:sz w:val="24"/>
          <w:szCs w:val="24"/>
          <w:b w:val="1"/>
          <w:bCs w:val="1"/>
          <w:rtl/>
        </w:rPr>
        <w:t xml:space="preserve">
طبقات المفسرين للداوودي،(دار الكتب العلمية - بيروت،0000،ط 0،ج 2،ص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2026-07-25T04:00:46+03:00</dcterms:created>
  <dcterms:modified xsi:type="dcterms:W3CDTF">2026-07-25T04:00:46+03:00</dcterms:modified>
</cp:coreProperties>
</file>

<file path=docProps/custom.xml><?xml version="1.0" encoding="utf-8"?>
<Properties xmlns="http://schemas.openxmlformats.org/officeDocument/2006/custom-properties" xmlns:vt="http://schemas.openxmlformats.org/officeDocument/2006/docPropsVTypes"/>
</file>