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الخيضري، الحافظ قطب الدين محمد بن محمد
</w:t>
      </w:r>
    </w:p>
    <w:p>
      <w:pPr>
        <w:jc w:val="start"/>
        <w:bidi/>
      </w:pPr>
      <w:r>
        <w:rPr>
          <w:rFonts w:ascii="arial" w:hAnsi="arial" w:eastAsia="arial" w:cs="arial"/>
          <w:sz w:val="28"/>
          <w:szCs w:val="28"/>
          <w:b w:val="1"/>
          <w:bCs w:val="1"/>
          <w:rtl/>
        </w:rPr>
        <w:t xml:space="preserve">الخيضري، الحافظ قطب الدين محمد بن محمد
</w:t>
      </w:r>
    </w:p>
    <w:p>
      <w:pPr/>
      <w:r>
        <w:rPr/>
        <w:t xml:space="preserve">الخيضري، الحافظ قطب الدين محمد بن محمد محمد بن محمد بن عبد الله بن خيضر، بكسر الضاد، بن سليمان بن داود بن فلاح بن حميده، الخيضري الزبيدي الدمشقي الشافعي، الحافظ قطب الدين. ولد في رمضان سنة إحدى وعشرين وثمانمائة. وأقبل على الحديث صغيرا فأكثر من السماع. ولازم الحافظ بن ناصر الدين فتنبه به، ثم لازم الحافظ بن حجر وتخرج. ووصفه الحافظ بن حجر بالحفظ. وألف ’’ شرح ألفية العراقي ’’، و ’’ الخصائص النبوية ’’، و ’’ طبقات الشافعية ’’، و ’’ شرح التنبيه ’’، و ’’ والأنساب ’’، و ’’ البرق اللموع في الخبر الموضوع ’’، و ’’ وغير ذلك. وولي قضاء الشافعية بدمشق، وكتابة السر بها، وعدة مدارس بدمشق. مات في ربيع الأول سنة أربع وتسعين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2026-06-25T05:14:03+03:00</dcterms:created>
  <dcterms:modified xsi:type="dcterms:W3CDTF">2026-06-25T05:14:03+03:00</dcterms:modified>
</cp:coreProperties>
</file>

<file path=docProps/custom.xml><?xml version="1.0" encoding="utf-8"?>
<Properties xmlns="http://schemas.openxmlformats.org/officeDocument/2006/custom-properties" xmlns:vt="http://schemas.openxmlformats.org/officeDocument/2006/docPropsVTypes"/>
</file>