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البلقيني، تاج الدين محمد بن عبد الرحمن
</w:t>
      </w:r>
    </w:p>
    <w:p>
      <w:pPr>
        <w:jc w:val="start"/>
        <w:bidi/>
      </w:pPr>
      <w:r>
        <w:rPr>
          <w:rFonts w:ascii="arial" w:hAnsi="arial" w:eastAsia="arial" w:cs="arial"/>
          <w:sz w:val="28"/>
          <w:szCs w:val="28"/>
          <w:b w:val="1"/>
          <w:bCs w:val="1"/>
          <w:rtl/>
        </w:rPr>
        <w:t xml:space="preserve">البلقيني، تاج الدين محمد بن عبد الرحمن
</w:t>
      </w:r>
    </w:p>
    <w:p>
      <w:pPr/>
      <w:r>
        <w:rPr/>
        <w:t xml:space="preserve">البلقيني، تاج الدين محمد بن عبد الرحمن محمد بن عبد الرحمن بن عمر بن أرسلان البلقيني، القاضي تاج الدين، بن قاضي القضاة جلال الدين، بن شيخ الإسلام سراج الدين. ولد سنة سبع وثمانين وسبعمائة. وتفقه على والده، وسمع على جده وغيره. وأجاز له جماعة، منهم عائشة بنت عبد الهادي. وولي قضاء العسكر وعدة تداريس. مات في رمضان سنة خمس وخمسين وثمانمائة.</w:t>
      </w:r>
    </w:p>
    <w:p/>
    <w:p>
      <w:pPr/>
      <w:r>
        <w:rPr/>
        <w:t xml:space="preserve">قال الحافظ بن حجر عند موت الجلال البلقيني:</w:t>
      </w:r>
    </w:p>
    <w:p/>
    <w:p>
      <w:pPr>
        <w:jc w:val="center"/>
      </w:pPr>
      <w:r>
        <w:rPr>
          <w:color w:val="ff0000"/>
        </w:rPr>
        <w:t xml:space="preserve">مات جلال الدين قالوا ابنه</w:t>
      </w:r>
      <w:r>
        <w:rPr>
          <w:color w:val="ff0000"/>
        </w:rPr>
        <w:t xml:space="preserve">      </w:t>
      </w:r>
      <w:r>
        <w:rPr>
          <w:color w:val="ff0000"/>
        </w:rPr>
        <w:t xml:space="preserve">يخلفه أو فالأخ الكاشح</w:t>
      </w:r>
    </w:p>
    <w:p/>
    <w:p>
      <w:pPr>
        <w:jc w:val="center"/>
      </w:pPr>
      <w:r>
        <w:rPr>
          <w:color w:val="ff0000"/>
        </w:rPr>
        <w:t xml:space="preserve">فقلت تاج الدين لا لائق</w:t>
      </w:r>
      <w:r>
        <w:rPr>
          <w:color w:val="ff0000"/>
        </w:rPr>
        <w:t xml:space="preserve">      </w:t>
      </w:r>
      <w:r>
        <w:rPr>
          <w:color w:val="ff0000"/>
        </w:rPr>
        <w:t xml:space="preserve">بمنصب الحكم ولا صالح</w:t>
      </w:r>
    </w:p>
    <w:p/>
    <w:p>
      <w:pPr/>
      <w:r>
        <w:rPr/>
        <w:t xml:space="preserve">أي من حيث قلة البراعة في العلم، وإلا فقد أثنى عليه البقاعي في معجمه بالدين والعفة. وحسن المباشرة لما تحت نظره من الأوقاف.</w:t>
      </w:r>
    </w:p>
    <w:p>
      <w:pPr>
        <w:jc w:val="start"/>
        <w:bidi/>
      </w:pPr>
      <w:r>
        <w:rPr>
          <w:sz w:val="24"/>
          <w:szCs w:val="24"/>
          <w:b w:val="1"/>
          <w:bCs w:val="1"/>
          <w:rtl/>
        </w:rPr>
        <w:t xml:space="preserve">
نظم العقيان في أعيان الأعيان،(المطبعة السورية الأمريكية - نيويورك  /  المكتبة العلمية - بيروت،1927،ط 0،ج 1،ص 151)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2026-05-19T14:59:48+03:00</dcterms:created>
  <dcterms:modified xsi:type="dcterms:W3CDTF">2026-05-19T14:59:48+03:00</dcterms:modified>
</cp:coreProperties>
</file>

<file path=docProps/custom.xml><?xml version="1.0" encoding="utf-8"?>
<Properties xmlns="http://schemas.openxmlformats.org/officeDocument/2006/custom-properties" xmlns:vt="http://schemas.openxmlformats.org/officeDocument/2006/docPropsVTypes"/>
</file>