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قاضي عجلون، عبد الرحمن بن عبد الله
</w:t>
      </w:r>
    </w:p>
    <w:p>
      <w:pPr>
        <w:jc w:val="start"/>
        <w:bidi/>
      </w:pPr>
      <w:r>
        <w:rPr>
          <w:rFonts w:ascii="arial" w:hAnsi="arial" w:eastAsia="arial" w:cs="arial"/>
          <w:sz w:val="28"/>
          <w:szCs w:val="28"/>
          <w:b w:val="1"/>
          <w:bCs w:val="1"/>
          <w:rtl/>
        </w:rPr>
        <w:t xml:space="preserve">ابن قاضي عجلون، عبد الرحمن بن عبد الله
</w:t>
      </w:r>
    </w:p>
    <w:p>
      <w:pPr/>
      <w:r>
        <w:rPr/>
        <w:t xml:space="preserve">ابن قاضي عجلون، عبد الرحمن بن عبد الله عبد الرحمن بن عبد الله بن عبد الرحمن الزرعي الدمشقي الشافعي زين الدين بن ولي الدين بن قاضي عجلون. أحد أعيان الشافعية بدمشق. مات في ربيع الآخر سنة ثمان وسبعين وثمانمائة، مر ذكر أخيه العلامة نجم الدين محمد.</w:t>
      </w:r>
    </w:p>
    <w:p>
      <w:pPr>
        <w:jc w:val="start"/>
        <w:bidi/>
      </w:pPr>
      <w:r>
        <w:rPr>
          <w:sz w:val="24"/>
          <w:szCs w:val="24"/>
          <w:b w:val="1"/>
          <w:bCs w:val="1"/>
          <w:rtl/>
        </w:rPr>
        <w:t xml:space="preserve">
نظم العقيان في أعيان الأعيان،(المطبعة السورية الأمريكية - نيويورك  /  المكتبة العلمية - بيروت،1927،ط 0،ج 1،ص 123)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2026-07-27T12:42:23+03:00</dcterms:created>
  <dcterms:modified xsi:type="dcterms:W3CDTF">2026-07-27T12:42:23+03:00</dcterms:modified>
</cp:coreProperties>
</file>

<file path=docProps/custom.xml><?xml version="1.0" encoding="utf-8"?>
<Properties xmlns="http://schemas.openxmlformats.org/officeDocument/2006/custom-properties" xmlns:vt="http://schemas.openxmlformats.org/officeDocument/2006/docPropsVTypes"/>
</file>