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عبد الله الجويني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عبد الله الجويني
</w:t>
      </w:r>
    </w:p>
    <w:p>
      <w:pPr/>
      <w:r>
        <w:rPr/>
        <w:t xml:space="preserve">محمد بن محمود بن عبد الله الجويني قاضي البصرة أبو عبد الله</w:t>
      </w:r>
    </w:p>
    <w:p/>
    <w:p>
      <w:pPr/>
      <w:r>
        <w:rPr/>
        <w:t xml:space="preserve">تفقه بالنظامية ببغداد</w:t>
      </w:r>
    </w:p>
    <w:p/>
    <w:p>
      <w:pPr/>
      <w:r>
        <w:rPr/>
        <w:t xml:space="preserve">وتولى قضاء البصرة وبها مات سنة خمس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2026-07-27T14:33:34+03:00</dcterms:created>
  <dcterms:modified xsi:type="dcterms:W3CDTF">2026-07-27T14:33:34+03:00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