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بهاء الدولة
</w:t>
      </w:r>
    </w:p>
    <w:p>
      <w:pPr>
        <w:jc w:val="start"/>
        <w:bidi/>
      </w:pPr>
      <w:r>
        <w:rPr>
          <w:rFonts w:ascii="arial" w:hAnsi="arial" w:eastAsia="arial" w:cs="arial"/>
          <w:sz w:val="28"/>
          <w:szCs w:val="28"/>
          <w:b w:val="1"/>
          <w:bCs w:val="1"/>
          <w:rtl/>
        </w:rPr>
        <w:t xml:space="preserve">بهاء الدولة
</w:t>
      </w:r>
    </w:p>
    <w:p>
      <w:pPr/>
      <w:r>
        <w:rPr/>
        <w:t xml:space="preserve">بهاء الدولة  منصور بن دبيس بن علي بن مزيد الاسدي، ابو كامل، بهاء الدولة: امير الحلة وبادية العراق. وليها بعد وفاة ابيه (سنة 474) وسار إلى مخيم السلطان ملك شاه فأقبل عليه. وخلع عليه الخليفة وأقره في امارته، فاستمر إلى ان توفى كهلا. وكان فاضلا عارفا بالادب شجاعا شاعرا، لما سمع نظام الملك خبر وفاته قال: مات اجل صاحب عمامة. </w:t>
      </w:r>
    </w:p>
    <w:p>
      <w:pPr>
        <w:jc w:val="start"/>
        <w:bidi/>
      </w:pPr>
      <w:r>
        <w:rPr>
          <w:sz w:val="24"/>
          <w:szCs w:val="24"/>
          <w:b w:val="1"/>
          <w:bCs w:val="1"/>
          <w:rtl/>
        </w:rPr>
        <w:t xml:space="preserve">
الأعلام،(دار العلم للملايين - بيروت،2002،ط 15،ج 7،ص 299)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2026-06-08T09:36:52+03:00</dcterms:created>
  <dcterms:modified xsi:type="dcterms:W3CDTF">2026-06-08T09:36:52+03:00</dcterms:modified>
</cp:coreProperties>
</file>

<file path=docProps/custom.xml><?xml version="1.0" encoding="utf-8"?>
<Properties xmlns="http://schemas.openxmlformats.org/officeDocument/2006/custom-properties" xmlns:vt="http://schemas.openxmlformats.org/officeDocument/2006/docPropsVTypes"/>
</file>