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أبي بكر بن خلكان
</w:t>
      </w:r>
    </w:p>
    <w:p>
      <w:pPr>
        <w:jc w:val="start"/>
        <w:bidi/>
      </w:pPr>
      <w:r>
        <w:rPr>
          <w:rFonts w:ascii="arial" w:hAnsi="arial" w:eastAsia="arial" w:cs="arial"/>
          <w:sz w:val="28"/>
          <w:szCs w:val="28"/>
          <w:b w:val="1"/>
          <w:bCs w:val="1"/>
          <w:rtl/>
        </w:rPr>
        <w:t xml:space="preserve">محمد بن إبراهيم بن أبي بكر بن خلكان
</w:t>
      </w:r>
    </w:p>
    <w:p>
      <w:pPr/>
      <w:r>
        <w:rPr/>
        <w:t xml:space="preserve">محمد بن إبراهيم بن أبي بكر بن خلكان والد القاضي شمس الدين</w:t>
      </w:r>
    </w:p>
    <w:p>
      <w:pPr>
        <w:jc w:val="start"/>
        <w:bidi/>
      </w:pPr>
      <w:r>
        <w:rPr>
          <w:sz w:val="24"/>
          <w:szCs w:val="24"/>
          <w:b w:val="1"/>
          <w:bCs w:val="1"/>
          <w:rtl/>
        </w:rPr>
        <w:t xml:space="preserve">
طبقات الشافعية الكبرى،(دار هجر - القاهرة،1992،ط 2،ج 8،ص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أبي بكر خلكان.
</w:t>
      </w:r>
    </w:p>
    <w:p>
      <w:pPr/>
      <w:r>
        <w:rPr/>
        <w:t xml:space="preserve">محمد بن إبراهيم بن أبي بكر خلكان. </w:t>
      </w:r>
    </w:p>
    <w:p/>
    <w:p>
      <w:pPr/>
      <w:r>
        <w:rPr/>
        <w:t xml:space="preserve">الفقيه بهاء الدين أبو عبد اللَّه الإربلى أخو زكى الدين حسين ونجم الدين عمر السالف، ووالد قاضي قضاة الشام شمس الدين بن خلكان، تفقه على ابن فضلان وغيره، وحدث ودرس بالمظفرية بإربل، ومات سنة عشر وستمائة، وكان مولده في حدود سنة سبع وخمسين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2026-07-27T17:09:24+03:00</dcterms:created>
  <dcterms:modified xsi:type="dcterms:W3CDTF">2026-07-27T17:09:24+03:00</dcterms:modified>
</cp:coreProperties>
</file>

<file path=docProps/custom.xml><?xml version="1.0" encoding="utf-8"?>
<Properties xmlns="http://schemas.openxmlformats.org/officeDocument/2006/custom-properties" xmlns:vt="http://schemas.openxmlformats.org/officeDocument/2006/docPropsVTypes"/>
</file>