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بن المنذر
</w:t>
      </w:r>
    </w:p>
    <w:p>
      <w:pPr>
        <w:jc w:val="start"/>
        <w:bidi/>
      </w:pPr>
      <w:r>
        <w:rPr>
          <w:rFonts w:ascii="arial" w:hAnsi="arial" w:eastAsia="arial" w:cs="arial"/>
          <w:sz w:val="28"/>
          <w:szCs w:val="28"/>
          <w:b w:val="1"/>
          <w:bCs w:val="1"/>
          <w:rtl/>
        </w:rPr>
        <w:t xml:space="preserve">المنذر بن المنذر
</w:t>
      </w:r>
    </w:p>
    <w:p>
      <w:pPr/>
      <w:r>
        <w:rPr/>
        <w:t xml:space="preserve">المنذر بن المنذر  المنذر (الرابع) ابن المنذر الثالث ابن امرئ القيس بن النعمان بن الاسود اللخمي: رابع المناذرة اصحاب الحيرة. تولاها بعد وفاة اخيه قابوس (نحو سنة 582م) وكرهه اهلها، فهموا بقتله، قال الاصفهاني: (لانه كان لايعدل فيهم، وكان يأخذ من اموالهم ما يعجبه) فبعث إلى زيد بن حماد وجعل له الحكم في ملكه، واستبقى لنفسه اسم (الملك) ورضى بذلك أهل الحيرة (نحو 585م) ومات زيد (نحو 590م) فخلفه ابنه (عدي بن زيد) واستمر المنذر إلى ان قتل في وقعة له مع عرب الشام. وهو ابو (النعمان) المعروف بأبي قابوس. </w:t>
      </w:r>
    </w:p>
    <w:p>
      <w:pPr>
        <w:jc w:val="start"/>
        <w:bidi/>
      </w:pPr>
      <w:r>
        <w:rPr>
          <w:sz w:val="24"/>
          <w:szCs w:val="24"/>
          <w:b w:val="1"/>
          <w:bCs w:val="1"/>
          <w:rtl/>
        </w:rPr>
        <w:t xml:space="preserve">
الأعلام،(دار العلم للملايين - بيروت،2002،ط 15،ج 7،ص 295)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2026-07-23T18:16:56+03:00</dcterms:created>
  <dcterms:modified xsi:type="dcterms:W3CDTF">2026-07-23T18:16:56+03:00</dcterms:modified>
</cp:coreProperties>
</file>

<file path=docProps/custom.xml><?xml version="1.0" encoding="utf-8"?>
<Properties xmlns="http://schemas.openxmlformats.org/officeDocument/2006/custom-properties" xmlns:vt="http://schemas.openxmlformats.org/officeDocument/2006/docPropsVTypes"/>
</file>