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محمود بن الحسن القزويني أبو حامد بن أبي الفرج بن الشيخ أبي حاتم الأنصاري
</w:t>
      </w:r>
    </w:p>
    <w:p>
      <w:pPr>
        <w:jc w:val="start"/>
        <w:bidi/>
      </w:pPr>
      <w:r>
        <w:rPr>
          <w:rFonts w:ascii="arial" w:hAnsi="arial" w:eastAsia="arial" w:cs="arial"/>
          <w:sz w:val="28"/>
          <w:szCs w:val="28"/>
          <w:b w:val="1"/>
          <w:bCs w:val="1"/>
          <w:rtl/>
        </w:rPr>
        <w:t xml:space="preserve">عبد الرحمن بن محمد بن محمود بن الحسن القزويني أبو حامد بن أبي الفرج بن الشيخ أبي حاتم الأنصاري
</w:t>
      </w:r>
    </w:p>
    <w:p>
      <w:pPr/>
      <w:r>
        <w:rPr/>
        <w:t xml:space="preserve">عبد الرحمن بن محمد بن محمود بن الحسن القزويني أبو حامد بن أبي الفرج بن الشيخ أبي حاتم الأنصاري كان إماما مفتيا مناظرا من بيت الفضل والدين</w:t>
      </w:r>
    </w:p>
    <w:p/>
    <w:p>
      <w:pPr/>
      <w:r>
        <w:rPr/>
        <w:t xml:space="preserve">ورد خراسان ودخل إلى ما وراء النهر وتفقه بتلك الديار</w:t>
      </w:r>
    </w:p>
    <w:p/>
    <w:p>
      <w:pPr/>
      <w:r>
        <w:rPr/>
        <w:t xml:space="preserve">توفي بآمل في ذي القعدة سنة ثمان وعشرين وخمسمائة</w:t>
      </w:r>
    </w:p>
    <w:p/>
    <w:p>
      <w:pPr/>
      <w:r>
        <w:rPr/>
        <w:t xml:space="preserve">ووالده أبو الفرج محمد بن أبي حاتم فقيه صالح حج وضاع له ابن يشبه أن يكون هذا قبل وصوله إلى المدينة قال بعضهم فجعل يتمرغ في مسجد النبي صلى الله عليه وسلم في التراب ويتشفع به عليه أفضل الصلاة والسلام في لقي ولده والخلق حوله فبينا هو في تلك الحال إذ دخل ابنه من باب المسجد</w:t>
      </w:r>
    </w:p>
    <w:p/>
    <w:p>
      <w:pPr/>
      <w:r>
        <w:rPr/>
        <w:t xml:space="preserve">وجده الشيخ أبو حاتم من أعلام المذهب</w:t>
      </w:r>
    </w:p>
    <w:p>
      <w:pPr>
        <w:jc w:val="start"/>
        <w:bidi/>
      </w:pPr>
      <w:r>
        <w:rPr>
          <w:sz w:val="24"/>
          <w:szCs w:val="24"/>
          <w:b w:val="1"/>
          <w:bCs w:val="1"/>
          <w:rtl/>
        </w:rPr>
        <w:t xml:space="preserve">
طبقات الشافعية الكبرى،(دار هجر - القاهرة،1992،ط 2،ج 7،ص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محمود بن الحسن القزوينى أبو حامد بن أبي الفرج.
</w:t>
      </w:r>
    </w:p>
    <w:p>
      <w:pPr/>
      <w:r>
        <w:rPr/>
        <w:t xml:space="preserve">عبد الرحمن بن محمد بن محمود بن الحسن القزوينى أبو حامد بن أبي الفرج. </w:t>
      </w:r>
    </w:p>
    <w:p/>
    <w:p>
      <w:pPr/>
      <w:r>
        <w:rPr/>
        <w:t xml:space="preserve">ابن الشيخ الإمام أبي حاتم الأنصارى، كان إماماً مفتياً مناظراً من بيت الفضل والدين، ورد خراسان، ودخل إلى بلاد ما وراء النهر، وتفقه بتلك الديار، ولد سنة ثمان وستين وأربعمائة، ومات بآمل في ذى القعدة من سنة ثمان وعشرين وخمسمائة. ووالده أبو الفتوح محمد بن حاتم تقدم، ولعل هذا هو الابن الذي ضاع له ثم وجده الشيخ أبو حاتم سبق أيضاً.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2026-06-14T05:55:27+03:00</dcterms:created>
  <dcterms:modified xsi:type="dcterms:W3CDTF">2026-06-14T05:55:27+03:00</dcterms:modified>
</cp:coreProperties>
</file>

<file path=docProps/custom.xml><?xml version="1.0" encoding="utf-8"?>
<Properties xmlns="http://schemas.openxmlformats.org/officeDocument/2006/custom-properties" xmlns:vt="http://schemas.openxmlformats.org/officeDocument/2006/docPropsVTypes"/>
</file>