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السعيدي أبو بكر الخبازي الآشي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السعيدي أبو بكر الخبازي الآشي
</w:t>
      </w:r>
    </w:p>
    <w:p>
      <w:pPr/>
      <w:r>
        <w:rPr/>
        <w:t xml:space="preserve">محمد بن أحمد السعيدي أبو بكر الخبازي الآشي خطيب قرية آش وفقيهها</w:t>
      </w:r>
    </w:p>
    <w:p/>
    <w:p>
      <w:pPr/>
      <w:r>
        <w:rPr/>
        <w:t xml:space="preserve">تفقه بمرو على محمد بن عبد الرزاق الماخواني</w:t>
      </w:r>
    </w:p>
    <w:p/>
    <w:p>
      <w:pPr/>
      <w:r>
        <w:rPr/>
        <w:t xml:space="preserve">وبمرو الروذ على القاضي الحسين</w:t>
      </w:r>
    </w:p>
    <w:p/>
    <w:p>
      <w:pPr/>
      <w:r>
        <w:rPr/>
        <w:t xml:space="preserve">قال صاحب الكافي توفي بقريته بانهدام جدار عليه سنة ثلاث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2026-05-09T19:26:07+03:00</dcterms:created>
  <dcterms:modified xsi:type="dcterms:W3CDTF">2026-05-09T19:26:07+03:00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