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الرحمن اليمني أبو حامد
</w:t>
      </w:r>
    </w:p>
    <w:p>
      <w:pPr>
        <w:jc w:val="start"/>
        <w:bidi/>
      </w:pPr>
      <w:r>
        <w:rPr>
          <w:rFonts w:ascii="arial" w:hAnsi="arial" w:eastAsia="arial" w:cs="arial"/>
          <w:sz w:val="28"/>
          <w:szCs w:val="28"/>
          <w:b w:val="1"/>
          <w:bCs w:val="1"/>
          <w:rtl/>
        </w:rPr>
        <w:t xml:space="preserve">محمد بن محمد بن عبد الرحمن اليمني أبو حامد
</w:t>
      </w:r>
    </w:p>
    <w:p>
      <w:pPr/>
      <w:r>
        <w:rPr/>
        <w:t xml:space="preserve">محمد بن محمد بن عبد الرحمن اليمني أبو حامد صاحب كتاب المرشد في الفقه في سفرين وقفت على الأول منهما وقد ذكر في تاريخه أنه فرغ منه سنة ثلاث وأربعين وأربعمائة</w:t>
      </w:r>
    </w:p>
    <w:p>
      <w:pPr>
        <w:jc w:val="start"/>
        <w:bidi/>
      </w:pPr>
      <w:r>
        <w:rPr>
          <w:sz w:val="24"/>
          <w:szCs w:val="24"/>
          <w:b w:val="1"/>
          <w:bCs w:val="1"/>
          <w:rtl/>
        </w:rPr>
        <w:t xml:space="preserve">
طبقات الشافعية الكبرى،(دار هجر - القاهرة،1992،ط 2،ج 4،ص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2026-07-27T09:15:18+03:00</dcterms:created>
  <dcterms:modified xsi:type="dcterms:W3CDTF">2026-07-27T09:15:18+03:00</dcterms:modified>
</cp:coreProperties>
</file>

<file path=docProps/custom.xml><?xml version="1.0" encoding="utf-8"?>
<Properties xmlns="http://schemas.openxmlformats.org/officeDocument/2006/custom-properties" xmlns:vt="http://schemas.openxmlformats.org/officeDocument/2006/docPropsVTypes"/>
</file>