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بن محمد بن موسى الجوينى الآزاذوارى
</w:t>
      </w:r>
    </w:p>
    <w:p>
      <w:pPr>
        <w:jc w:val="start"/>
        <w:bidi/>
      </w:pPr>
      <w:r>
        <w:rPr>
          <w:rFonts w:ascii="arial" w:hAnsi="arial" w:eastAsia="arial" w:cs="arial"/>
          <w:sz w:val="28"/>
          <w:szCs w:val="28"/>
          <w:b w:val="1"/>
          <w:bCs w:val="1"/>
          <w:rtl/>
        </w:rPr>
        <w:t xml:space="preserve">هارون بن محمد بن موسى الجوينى الآزاذوارى
</w:t>
      </w:r>
    </w:p>
    <w:p>
      <w:pPr/>
      <w:r>
        <w:rPr/>
        <w:t xml:space="preserve">هارون بن محمد بن موسى الجوينى الآزاذوارى وآزاذوار بمد الألف وفتح الزاى وسكون الذال المعجمة وفى آخرها الراء من قرى جوين من نواحى نيسابور الفقيه الأديب أبو موسى قال الحاكم سمع بنيسابور أبا عبد الله البوشنجى وأقرانه وكتب بالرى وبغداد قبل العشر والثلاثمائة وكان إذا ورد البلد يعنى نيسابور تهتز مشايخنا لوروده</w:t>
      </w:r>
    </w:p>
    <w:p/>
    <w:p>
      <w:pPr/>
      <w:r>
        <w:rPr/>
        <w:t xml:space="preserve">ثم روى الحاكم عنه حديثا واحدا ولم يزد في ترجمته على ذلك</w:t>
      </w:r>
    </w:p>
    <w:p>
      <w:pPr>
        <w:jc w:val="start"/>
        <w:bidi/>
      </w:pPr>
      <w:r>
        <w:rPr>
          <w:sz w:val="24"/>
          <w:szCs w:val="24"/>
          <w:b w:val="1"/>
          <w:bCs w:val="1"/>
          <w:rtl/>
        </w:rPr>
        <w:t xml:space="preserve">
طبقات الشافعية الكبرى،(دار هجر - القاهرة،1992،ط 2،ج 3،ص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محمد بن موسى الجويني الأزاذواري. الفقيه، الأديب.
</w:t>
      </w:r>
    </w:p>
    <w:p>
      <w:pPr/>
      <w:r>
        <w:rPr/>
        <w:t xml:space="preserve">قال الحاكم: سمع بنيسابور أبا عبد الله البوشنجي وأقرانه، وكتب بالري وبغداد قبل العشر والثلاث مئة، وكان إذا ورد البلد يهتز مشايخها لوروده.</w:t>
      </w:r>
    </w:p>
    <w:p/>
    <w:p/>
    <w:p>
      <w:pPr/>
      <w:r>
        <w:rPr/>
        <w:t xml:space="preserve">روى عنه الحاكم.</w:t>
      </w:r>
    </w:p>
    <w:p>
      <w:pPr>
        <w:jc w:val="start"/>
        <w:bidi/>
      </w:pPr>
      <w:r>
        <w:rPr>
          <w:sz w:val="24"/>
          <w:szCs w:val="24"/>
          <w:b w:val="1"/>
          <w:bCs w:val="1"/>
          <w:rtl/>
        </w:rPr>
        <w:t xml:space="preserve">
طبقات الفقهاء الشافعية،(دار البشائر الإسلامية - بيروت،1992،ط 1،ج 2،ص 677)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محمد بن موسى، أبو موسى، الجويني الآزاذواري، الفقيه الشافعي.
</w:t>
      </w:r>
    </w:p>
    <w:p>
      <w:pPr/>
      <w:r>
        <w:rPr/>
        <w:t xml:space="preserve">هارون بن محمد بن موسى، أبو موسى، الجويني الآزاذواري، الفقيه الشافعي. </w:t>
      </w:r>
    </w:p>
    <w:p/>
    <w:p>
      <w:pPr/>
      <w:r>
        <w:rPr/>
        <w:t xml:space="preserve">سمع: أبا عبد الله محمد بن إبراهيم البوشنجي، وإبراهيم بن عبد الرحمن بن سهل الآزاذواري، وغيرهما.</w:t>
      </w:r>
    </w:p>
    <w:p/>
    <w:p>
      <w:pPr/>
      <w:r>
        <w:rPr/>
        <w:t xml:space="preserve">وعنه: أبو عبد الله الحاكم.</w:t>
      </w:r>
    </w:p>
    <w:p/>
    <w:p>
      <w:pPr/>
      <w:r>
        <w:rPr/>
        <w:t xml:space="preserve">وقال في ’’تاريخه’’: أبو موسى الآزاذواري الفقيه الأديب، سمع بنيسابور أبا عبد الله البوشنجي وأقرانه، وكتب بالري، وبغداد، قبل العشر والثلاثمائة، وكان إذا ورد البلد يهتز مشايخها لوروده. وقال السمعاني: كان أديباً فقيهاً. وقال السبكي في ’’طبقاته’’: روى عنه الحاكم حديثاً واحداً.</w:t>
      </w:r>
    </w:p>
    <w:p/>
    <w:p>
      <w:pPr/>
      <w:r>
        <w:rPr/>
        <w:t xml:space="preserve">قلت: [ثقة فقيه أديب].</w:t>
      </w:r>
    </w:p>
    <w:p/>
    <w:p>
      <w:pPr/>
      <w:r>
        <w:rPr/>
        <w:t xml:space="preserve">’’مختصر تاريخ نيسابور’’ (54/ ب)، ’’الأنساب’’ (1/ 58)، ’’الفيصل في مشتبه النسبة’’ (2/ 478)، ’’طبقات ابن الصلاح’’ (2/ 677)، والسبكي (3/ 484)، والأسنوي (1/ 172)، وابن كثير (1/ 301)، ’’ذيل العقد المذهب’’ (413).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محمد بن موسى الجويني الآزد داري
</w:t>
      </w:r>
    </w:p>
    <w:p>
      <w:pPr/>
      <w:r>
        <w:rPr/>
        <w:t xml:space="preserve">هارون بن محمد بن موسى الجويني الآزد داري </w:t>
      </w:r>
    </w:p>
    <w:p/>
    <w:p>
      <w:pPr/>
      <w:r>
        <w:rPr/>
        <w:t xml:space="preserve">نسبة إلى قرية من قرى جوين من نواحى نيسابور. الفقيه الأديب أبو موسى، قال الحاكم: سمع بنيسابور أبا عبد اللَّه البوشنجى وأقرانه، وكتب بالرى وبغداد قبل العشر والثلثمائة، وكان إذا ورد البلد يعنى نيسابور يهتز مشايخنا لوروده. ذكره ابن الصلاح.</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2026-05-19T14:55:24+03:00</dcterms:created>
  <dcterms:modified xsi:type="dcterms:W3CDTF">2026-05-19T14:55:24+03:00</dcterms:modified>
</cp:coreProperties>
</file>

<file path=docProps/custom.xml><?xml version="1.0" encoding="utf-8"?>
<Properties xmlns="http://schemas.openxmlformats.org/officeDocument/2006/custom-properties" xmlns:vt="http://schemas.openxmlformats.org/officeDocument/2006/docPropsVTypes"/>
</file>