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النعمان بن ثابت، الإمام ابن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النعمان بن ثابت، الإمام ابن الإمام
</w:t>
      </w:r>
    </w:p>
    <w:p>
      <w:pPr/>
      <w:r>
        <w:rPr/>
        <w:t xml:space="preserve">حماد بن النعمان بن ثابت، الإمام ابن الإمام تفقه على أبيه، وأفتى في زمنه. وتفقه عليه ابنه إسماعيل المتقدم ذكره.</w:t>
      </w:r>
    </w:p>
    <w:p/>
    <w:p>
      <w:pPr/>
      <w:r>
        <w:rPr/>
        <w:t xml:space="preserve">وهو من طبقة أبي يوسف ومحمد وزفر والحسن بن زياد.</w:t>
      </w:r>
    </w:p>
    <w:p/>
    <w:p>
      <w:pPr/>
      <w:r>
        <w:rPr/>
        <w:t xml:space="preserve">وكان الغالب عليه الورع، قال الفضل بن دكين: تقدم حماد بن النعمان إلى شريك ابن عبد الله في شهادة، فقال له شريك: والله إنك لعفيف النظر والفرج، خيار مسلم.</w:t>
      </w:r>
    </w:p>
    <w:p/>
    <w:p>
      <w:pPr/>
      <w:r>
        <w:rPr/>
        <w:t xml:space="preserve">وقال ابن خلكان: كان من الصلاح والخير على قدم عظيم.</w:t>
      </w:r>
    </w:p>
    <w:p/>
    <w:p>
      <w:pPr/>
      <w:r>
        <w:rPr/>
        <w:t xml:space="preserve">ولما توفي أبوه كانت عنده ودائع كثيرة من ذهب وفضة، وغير ذلك، وأربابها غائبون، وفيهم أيتام، فحملها ابنه حماد المذكور إلى القاضي ليتسلمها منه، فقال له القاضي: ما نقبلها منك ولا تخرجها عن يدك، فإنك أهل لها وموضعها. فقال حماد للقاضي: زنها واقبضها حتى تبرأ ذمة أبي حنيفة، ثم افعل ما بدا لك. ففعل القاضي، وبقي في وزنها أياما، فلما كمل وزنها استتر حماد فلم يظهر، حتى دفعها إلى غيره.</w:t>
      </w:r>
    </w:p>
    <w:p/>
    <w:p>
      <w:pPr/>
      <w:r>
        <w:rPr/>
        <w:t xml:space="preserve">وكانت وفاته في ذي القعدة، سنة ست وسبعين ومائة.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2026-05-11T18:32:59+03:00</dcterms:created>
  <dcterms:modified xsi:type="dcterms:W3CDTF">2026-05-11T18:32:59+03:00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