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طنبغا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طنبغا الغزي
</w:t>
      </w:r>
    </w:p>
    <w:p>
      <w:pPr/>
      <w:r>
        <w:rPr/>
        <w:t xml:space="preserve">إبراهيم بن محمد بن طنبغا الغزي اشتغل، وحصل، وأخذ عن الكافيجي.</w:t>
      </w:r>
    </w:p>
    <w:p/>
    <w:p>
      <w:pPr/>
      <w:r>
        <w:rPr/>
        <w:t xml:space="preserve">ونظم ’’ المجمع ’’.</w:t>
      </w:r>
    </w:p>
    <w:p/>
    <w:p>
      <w:pPr/>
      <w:r>
        <w:rPr/>
        <w:t xml:space="preserve">وولي قضاء غزة غير مرة، وكذا قضاء صفد، ثم اقتصر على الشهادة.</w:t>
      </w:r>
    </w:p>
    <w:p/>
    <w:p>
      <w:pPr/>
      <w:r>
        <w:rPr/>
        <w:t xml:space="preserve">كذا ذكره السخاوي، ثم قال: وهو الآن حي يرزق.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2026-07-27T13:26:23+03:00</dcterms:created>
  <dcterms:modified xsi:type="dcterms:W3CDTF">2026-07-27T13:26:23+03:00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