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مطيع بن إياس
</w:t>
      </w:r>
    </w:p>
    <w:p>
      <w:pPr>
        <w:jc w:val="start"/>
        <w:bidi/>
      </w:pPr>
      <w:r>
        <w:rPr>
          <w:rFonts w:ascii="arial" w:hAnsi="arial" w:eastAsia="arial" w:cs="arial"/>
          <w:sz w:val="28"/>
          <w:szCs w:val="28"/>
          <w:b w:val="1"/>
          <w:bCs w:val="1"/>
          <w:rtl/>
        </w:rPr>
        <w:t xml:space="preserve">مطيع بن إياس
</w:t>
      </w:r>
    </w:p>
    <w:p>
      <w:pPr/>
      <w:r>
        <w:rPr/>
        <w:t xml:space="preserve">مطيع بن إياس  مطيع بن اياس الكناني، ابو سلمى: شاعر، من مخضرمي الدولتين الاموية والعباسية كان ظريفا، مليح النادرة، ماجنا، متهما بالزندقة. مولده ومنشأه بالكوفة، واصل ابيه من فلسطين. مدح الوليد بن يزيد ونادمه، في العصر الاموي، وانقطع في الدولة العباسية إلى جعفر بن المنصور فكان معه إلى ان مات. وكان صديقا لحماد عجرد الشاعر وحماد الراوية. اقام ببغداد زمنا، وولاه المهدي العباسي الصدقات بالبصرة فتوفى فيها. واخباره كثيرة، وفي شعره ما كان يغنى به. </w:t>
      </w:r>
    </w:p>
    <w:p>
      <w:pPr>
        <w:jc w:val="start"/>
        <w:bidi/>
      </w:pPr>
      <w:r>
        <w:rPr>
          <w:sz w:val="24"/>
          <w:szCs w:val="24"/>
          <w:b w:val="1"/>
          <w:bCs w:val="1"/>
          <w:rtl/>
        </w:rPr>
        <w:t xml:space="preserve">
الأعلام،(دار العلم للملايين - بيروت،2002،ط 15،ج 7،ص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2026-07-23T19:46:25+03:00</dcterms:created>
  <dcterms:modified xsi:type="dcterms:W3CDTF">2026-07-23T19:46:25+03:00</dcterms:modified>
</cp:coreProperties>
</file>

<file path=docProps/custom.xml><?xml version="1.0" encoding="utf-8"?>
<Properties xmlns="http://schemas.openxmlformats.org/officeDocument/2006/custom-properties" xmlns:vt="http://schemas.openxmlformats.org/officeDocument/2006/docPropsVTypes"/>
</file>