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الحسن أبو القاسم بن الجلاب
</w:t>
      </w:r>
    </w:p>
    <w:p>
      <w:pPr>
        <w:jc w:val="start"/>
        <w:bidi/>
      </w:pPr>
      <w:r>
        <w:rPr>
          <w:rFonts w:ascii="arial" w:hAnsi="arial" w:eastAsia="arial" w:cs="arial"/>
          <w:sz w:val="28"/>
          <w:szCs w:val="28"/>
          <w:b w:val="1"/>
          <w:bCs w:val="1"/>
          <w:rtl/>
        </w:rPr>
        <w:t xml:space="preserve">عبيد الله بن الحسن أبو القاسم بن الجلاب
</w:t>
      </w:r>
    </w:p>
    <w:p>
      <w:pPr/>
      <w:r>
        <w:rPr/>
        <w:t xml:space="preserve">عبيد الله بن الحسن أبو القاسم بن الجلاب ويقال: ابن الحسين بن الحسن تفقه بالأبهري وغيره وله كتاب في مسائل الخلاف وكتاب التفريع في المذهب مشهور وكان أحفظ أصحاب الأبهري وأنبلهم وتفقه به القاضي عبد الوهاب وغيره من الأئمة. وتوفي منصرفه من الحج سنة ثمان وسبعين وثلاثمائة. قال بن رشيق: رأيت في طبقات الشيرازي: أن اسمه عبد الرحمن.</w:t>
      </w:r>
    </w:p>
    <w:p>
      <w:pPr>
        <w:jc w:val="start"/>
        <w:bidi/>
      </w:pPr>
      <w:r>
        <w:rPr>
          <w:sz w:val="24"/>
          <w:szCs w:val="24"/>
          <w:b w:val="1"/>
          <w:bCs w:val="1"/>
          <w:rtl/>
        </w:rPr>
        <w:t xml:space="preserve">
الديباج المذهب في معرفة أعيان علماء المذهب،(دار التراث للطبع والنشر - القاهرة،2005،ط 1،ج 1،ص 461)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2026-07-27T12:42:19+03:00</dcterms:created>
  <dcterms:modified xsi:type="dcterms:W3CDTF">2026-07-27T12:42:19+03:00</dcterms:modified>
</cp:coreProperties>
</file>

<file path=docProps/custom.xml><?xml version="1.0" encoding="utf-8"?>
<Properties xmlns="http://schemas.openxmlformats.org/officeDocument/2006/custom-properties" xmlns:vt="http://schemas.openxmlformats.org/officeDocument/2006/docPropsVTypes"/>
</file>