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 بن شريك
</w:t>
      </w:r>
    </w:p>
    <w:p>
      <w:pPr/>
      <w:r>
        <w:rPr/>
        <w:t xml:space="preserve">مطر بن شريك  مطر بن شريك بن عمرو (الصلب) بن قيس، من ذهل بني شيبان: جدزمن نسله (معن بن زائدة) بن عبد الله بن زائدة ابن (مطر) الشيباني. وفيهم يقول الشاعر:</w:t>
      </w:r>
    </w:p>
    <w:p/>
    <w:p>
      <w:pPr>
        <w:jc w:val="center"/>
      </w:pPr>
      <w:r>
        <w:rPr>
          <w:color w:val="ff0000"/>
        </w:rPr>
        <w:t xml:space="preserve">بنو مطر، عند اللقاء كأنهم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اسود، لها في غيل خفان اشبل.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2026-05-15T19:09:59+03:00</dcterms:created>
  <dcterms:modified xsi:type="dcterms:W3CDTF">2026-05-15T19:09:59+03:00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