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القلعاوي
</w:t>
      </w:r>
    </w:p>
    <w:p>
      <w:pPr>
        <w:jc w:val="start"/>
        <w:bidi/>
      </w:pPr>
      <w:r>
        <w:rPr>
          <w:rFonts w:ascii="arial" w:hAnsi="arial" w:eastAsia="arial" w:cs="arial"/>
          <w:sz w:val="28"/>
          <w:szCs w:val="28"/>
          <w:b w:val="1"/>
          <w:bCs w:val="1"/>
          <w:rtl/>
        </w:rPr>
        <w:t xml:space="preserve">القلعاوي
</w:t>
      </w:r>
    </w:p>
    <w:p>
      <w:pPr/>
      <w:r>
        <w:rPr/>
        <w:t xml:space="preserve">القلعاوي  مصطفى بن محمد بن يوسف الصفوي القلعاوي: مؤرخ مصري، من فقهاء الشافعية. كان سكنه بقلعة الجبل، واليها نسبته، ياتي منها كل يوم إلى الازهر للاقراء والافادة. ثم نزل إلى داخل القاهرة. توفي بها. من كتبه (صفوة الزمان فيمن تولى على مصر من امير وسلطان</w:t>
      </w:r>
    </w:p>
    <w:p/>
    <w:p>
      <w:pPr/>
      <w:r>
        <w:rPr/>
        <w:t xml:space="preserve">خ) و (منظومة في اداب البحث) و (شرحها) و (ديوان شعر) سماه (إتحاف الناظرين في مدح سيد المرسلين) و (حاشية على شرح مطول للتفتازاني) و (حاشية على ابن قاسم علي ابي شجاع) في الفقه، و (مشاهد الصفا في المدفونين بمصر من ال المصطفى – خ). </w:t>
      </w:r>
    </w:p>
    <w:p>
      <w:pPr>
        <w:jc w:val="start"/>
        <w:bidi/>
      </w:pPr>
      <w:r>
        <w:rPr>
          <w:sz w:val="24"/>
          <w:szCs w:val="24"/>
          <w:b w:val="1"/>
          <w:bCs w:val="1"/>
          <w:rtl/>
        </w:rPr>
        <w:t xml:space="preserve">
الأعلام،(دار العلم للملايين - بيروت،2002،ط 15،ج 7،ص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2026-07-23T18:06:51+03:00</dcterms:created>
  <dcterms:modified xsi:type="dcterms:W3CDTF">2026-07-23T18:06:51+03:00</dcterms:modified>
</cp:coreProperties>
</file>

<file path=docProps/custom.xml><?xml version="1.0" encoding="utf-8"?>
<Properties xmlns="http://schemas.openxmlformats.org/officeDocument/2006/custom-properties" xmlns:vt="http://schemas.openxmlformats.org/officeDocument/2006/docPropsVTypes"/>
</file>