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عزمي زاده
</w:t>
      </w:r>
    </w:p>
    <w:p>
      <w:pPr>
        <w:jc w:val="start"/>
        <w:bidi/>
      </w:pPr>
      <w:r>
        <w:rPr>
          <w:rFonts w:ascii="arial" w:hAnsi="arial" w:eastAsia="arial" w:cs="arial"/>
          <w:sz w:val="28"/>
          <w:szCs w:val="28"/>
          <w:b w:val="1"/>
          <w:bCs w:val="1"/>
          <w:rtl/>
        </w:rPr>
        <w:t xml:space="preserve">عزمي زاده
</w:t>
      </w:r>
    </w:p>
    <w:p>
      <w:pPr/>
      <w:r>
        <w:rPr/>
        <w:t xml:space="preserve">عزمي زاده  مصطفى بن محمد، المعروف بعزمى زاده: قاض تركي مستعرب، من فقهاء الحنفية. ولى قضاء الشام (سنة1011هـ) وقضاء مصر (سنة1013) وقضاء بروسة (1015) وادرنة (1020) واعيد إلى دمشق (سنة1020) وعزل سنة 1022 ثم ولى القضاء باستانبول. من كتبه العربية: (نتائج الافكار-خ) حاشية على شرح المنار، في اصول الفقه، و (حاشية على درر الكلام –خ) فقه، و (ديوان الانشاء) و (حاشية على الهداية) للمرغينانى. وله شعر بالعربية والتركية، منه (رباعيات) تركية، قال المحبى: هي كرباعيات سديد الدين الانبارى في العربية وعمر الخيام في الفارسية. </w:t>
      </w:r>
    </w:p>
    <w:p>
      <w:pPr>
        <w:jc w:val="start"/>
        <w:bidi/>
      </w:pPr>
      <w:r>
        <w:rPr>
          <w:sz w:val="24"/>
          <w:szCs w:val="24"/>
          <w:b w:val="1"/>
          <w:bCs w:val="1"/>
          <w:rtl/>
        </w:rPr>
        <w:t xml:space="preserve">
الأعلام،(دار العلم للملايين - بيروت،2002،ط 15،ج 7،ص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2026-07-24T01:15:21+03:00</dcterms:created>
  <dcterms:modified xsi:type="dcterms:W3CDTF">2026-07-24T01:15:21+03:00</dcterms:modified>
</cp:coreProperties>
</file>

<file path=docProps/custom.xml><?xml version="1.0" encoding="utf-8"?>
<Properties xmlns="http://schemas.openxmlformats.org/officeDocument/2006/custom-properties" xmlns:vt="http://schemas.openxmlformats.org/officeDocument/2006/docPropsVTypes"/>
</file>