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مرجان الطواشي مولى أويس
</w:t>
      </w:r>
    </w:p>
    <w:p>
      <w:pPr>
        <w:jc w:val="start"/>
        <w:bidi/>
      </w:pPr>
      <w:r>
        <w:rPr>
          <w:rFonts w:ascii="arial" w:hAnsi="arial" w:eastAsia="arial" w:cs="arial"/>
          <w:sz w:val="28"/>
          <w:szCs w:val="28"/>
          <w:b w:val="1"/>
          <w:bCs w:val="1"/>
          <w:rtl/>
        </w:rPr>
        <w:t xml:space="preserve">مرجان الطواشي مولى أويس
</w:t>
      </w:r>
    </w:p>
    <w:p>
      <w:pPr/>
      <w:r>
        <w:rPr/>
        <w:t xml:space="preserve">مرجان الطواشي مولى أويس مرجان الطواشي مولى أويس صاحب بغداد والعراق وغيرها كان أويس استنابه ثم استوحش مرجان منه فاستقل بأمر بغداد وكاتب الأشرف صاحب مصر يخبره بأنه خطب له ببغداد والتمس منه التقليد بالنيابة فأرسل إليه ذلك منه ومن الخليفة وأرسل إليه الأعلام والخلع وأذن له أن يدخل الديار المصرية أن رابه من أويس ريب ثم أن استاذه تجهز إليه في عساكر كثيرة وحاصره إلى أن غلب عليه ويقال أنه كحله وذلك في سنة 768 والصحيح أنه حضر إليه طائعا فعفا عنه وقرره نائبا عنه ببغداد لما علم من شهامته وحفظ الطرقات في زمانه وكانت الطرق في أيام عصيانه قد فسدت فلما أعيد إلى النيابة انصلحت فلم يزل على ذلك إلى أن مات سنة 774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2026-07-27T14:17:15+03:00</dcterms:created>
  <dcterms:modified xsi:type="dcterms:W3CDTF">2026-07-27T14:17:15+03:00</dcterms:modified>
</cp:coreProperties>
</file>

<file path=docProps/custom.xml><?xml version="1.0" encoding="utf-8"?>
<Properties xmlns="http://schemas.openxmlformats.org/officeDocument/2006/custom-properties" xmlns:vt="http://schemas.openxmlformats.org/officeDocument/2006/docPropsVTypes"/>
</file>