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الله بن عبد الرحمن الرقي الفارقي الأصل الدمشقي تقي الدين
</w:t>
      </w:r>
    </w:p>
    <w:p>
      <w:pPr>
        <w:jc w:val="start"/>
        <w:bidi/>
      </w:pPr>
      <w:r>
        <w:rPr>
          <w:rFonts w:ascii="arial" w:hAnsi="arial" w:eastAsia="arial" w:cs="arial"/>
          <w:sz w:val="28"/>
          <w:szCs w:val="28"/>
          <w:b w:val="1"/>
          <w:bCs w:val="1"/>
          <w:rtl/>
        </w:rPr>
        <w:t xml:space="preserve">محمد بن عبد الله بن عبد الرحمن الرقي الفارقي الأصل الدمشقي تقي الدين
</w:t>
      </w:r>
    </w:p>
    <w:p>
      <w:pPr/>
      <w:r>
        <w:rPr/>
        <w:t xml:space="preserve">محمد بن عبد الله بن عبد الرحمن الرقي الفارقي الأصل الدمشقي تقي الدين محمد بن عبد الله بن عبد الرحمن الرقي الفارقي الأصل الدمشقي تقي الدين ابن قيم الشامية سمع من الفخر وغيره وولى مشيخة التجيبية وكان شيخا مباركا مات في رجب سنة 747</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2026-07-27T13:52:06+03:00</dcterms:created>
  <dcterms:modified xsi:type="dcterms:W3CDTF">2026-07-27T13:52:06+03:00</dcterms:modified>
</cp:coreProperties>
</file>

<file path=docProps/custom.xml><?xml version="1.0" encoding="utf-8"?>
<Properties xmlns="http://schemas.openxmlformats.org/officeDocument/2006/custom-properties" xmlns:vt="http://schemas.openxmlformats.org/officeDocument/2006/docPropsVTypes"/>
</file>