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الكريم بن راشد
</w:t>
      </w:r>
    </w:p>
    <w:p>
      <w:pPr>
        <w:jc w:val="start"/>
        <w:bidi/>
      </w:pPr>
      <w:r>
        <w:rPr>
          <w:rFonts w:ascii="arial" w:hAnsi="arial" w:eastAsia="arial" w:cs="arial"/>
          <w:sz w:val="28"/>
          <w:szCs w:val="28"/>
          <w:b w:val="1"/>
          <w:bCs w:val="1"/>
          <w:rtl/>
        </w:rPr>
        <w:t xml:space="preserve">محمد بن إبراهيم بن عبد الكريم بن راشد
</w:t>
      </w:r>
    </w:p>
    <w:p>
      <w:pPr/>
      <w:r>
        <w:rPr/>
        <w:t xml:space="preserve">محمد بن إبراهيم بن عبد الكريم بن راشد محمد بن إبراهيم بن عبد الكريم بن راشد القرشي الذهبي ولد سنة 661 سمع من ابن الصيرفي ومؤمل البالسي والرشيد العامري في آخرين وحدث بأربعين الصوفية لابي نعيم ويجزء الأنصاري وغير ذلك وسمع منه الشيخ صلاح الدين العلائي وهو خاله وحدثنا منه الشيخ شهاب الدين أحمد بن محمد بن عثمان الخليلي بغزة ومات بالقدس سنة 744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2026-07-27T10:26:45+03:00</dcterms:created>
  <dcterms:modified xsi:type="dcterms:W3CDTF">2026-07-27T10:26:45+03:00</dcterms:modified>
</cp:coreProperties>
</file>

<file path=docProps/custom.xml><?xml version="1.0" encoding="utf-8"?>
<Properties xmlns="http://schemas.openxmlformats.org/officeDocument/2006/custom-properties" xmlns:vt="http://schemas.openxmlformats.org/officeDocument/2006/docPropsVTypes"/>
</file>