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مرقس حنا
</w:t>
      </w:r>
    </w:p>
    <w:p>
      <w:pPr>
        <w:jc w:val="start"/>
        <w:bidi/>
      </w:pPr>
      <w:r>
        <w:rPr>
          <w:rFonts w:ascii="arial" w:hAnsi="arial" w:eastAsia="arial" w:cs="arial"/>
          <w:sz w:val="28"/>
          <w:szCs w:val="28"/>
          <w:b w:val="1"/>
          <w:bCs w:val="1"/>
          <w:rtl/>
        </w:rPr>
        <w:t xml:space="preserve">مرقس حنا
</w:t>
      </w:r>
    </w:p>
    <w:p>
      <w:pPr/>
      <w:r>
        <w:rPr/>
        <w:t xml:space="preserve">مرقس حنا  مرقس حنا ’’باشأ’’ابن القمص يوحنا بن مرقس أسعد دميان: محام مصرى قبطى. من الوزراء. من أهل القاهرة. أصله من المنصورة. تعلم الحقوق بمصر وباريس. وعين وكيلا للنيابة فى دمنهور، فوضع كتابأ فى ’’ شرح القانون الإدارى المصرى - ط ’’ واستقال، وعمل فى ’’ المحاماة ’’ ودخل فى الحزب الوطنى أيام مصطفى كامل، وكان من رجال سعد زغلول بعد الحرب العامة الأولى. وشارك فى الحركات الوطنية ’’الثورية’’ فاعتقلته السلطه العسكرية البريطانية (سنة 1922) وحكبم عليه بالإعدام ثم أفرج عنه بعد نحوعام. واختير نقيبا للمحامين مرات. وعين وزيرا للأشغال ثم للمالية فالخارجية. قالت جريدة الجهاد: كان صادق الوفاء لبلاده. </w:t>
      </w:r>
    </w:p>
    <w:p>
      <w:pPr>
        <w:jc w:val="start"/>
        <w:bidi/>
      </w:pPr>
      <w:r>
        <w:rPr>
          <w:sz w:val="24"/>
          <w:szCs w:val="24"/>
          <w:b w:val="1"/>
          <w:bCs w:val="1"/>
          <w:rtl/>
        </w:rPr>
        <w:t xml:space="preserve">
الأعلام،(دار العلم للملايين - بيروت،2002،ط 15،ج 7،ص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2026-07-27T09:02:58+03:00</dcterms:created>
  <dcterms:modified xsi:type="dcterms:W3CDTF">2026-07-27T09:02:58+03:00</dcterms:modified>
</cp:coreProperties>
</file>

<file path=docProps/custom.xml><?xml version="1.0" encoding="utf-8"?>
<Properties xmlns="http://schemas.openxmlformats.org/officeDocument/2006/custom-properties" xmlns:vt="http://schemas.openxmlformats.org/officeDocument/2006/docPropsVTypes"/>
</file>