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يحيى بن هبة الله
</w:t>
      </w:r>
    </w:p>
    <w:p>
      <w:pPr>
        <w:jc w:val="start"/>
        <w:bidi/>
      </w:pPr>
      <w:r>
        <w:rPr>
          <w:rFonts w:ascii="arial" w:hAnsi="arial" w:eastAsia="arial" w:cs="arial"/>
          <w:sz w:val="28"/>
          <w:szCs w:val="28"/>
          <w:b w:val="1"/>
          <w:bCs w:val="1"/>
          <w:rtl/>
        </w:rPr>
        <w:t xml:space="preserve">علي بن محمد بن يحيى بن هبة الله
</w:t>
      </w:r>
    </w:p>
    <w:p>
      <w:pPr/>
      <w:r>
        <w:rPr/>
        <w:t xml:space="preserve">علي بن محمد بن يحيى بن هبة الله علي بن محمد بن يحيى بن هبة الله العباسي الحنفي البغدادي سمع صحيح مسلم على عبد الكريم بن بلدجي وأحكام ابن تيمية على الرشيد ابن أبي القاسم عنه وولي قضاء بغداد ونقابة الأشراف ودرس وخطب ومات في رجب سنة 767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2026-07-27T09:14:47+03:00</dcterms:created>
  <dcterms:modified xsi:type="dcterms:W3CDTF">2026-07-27T09:14:47+03:00</dcterms:modified>
</cp:coreProperties>
</file>

<file path=docProps/custom.xml><?xml version="1.0" encoding="utf-8"?>
<Properties xmlns="http://schemas.openxmlformats.org/officeDocument/2006/custom-properties" xmlns:vt="http://schemas.openxmlformats.org/officeDocument/2006/docPropsVTypes"/>
</file>