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التونسي
</w:t>
      </w:r>
    </w:p>
    <w:p>
      <w:pPr>
        <w:jc w:val="start"/>
        <w:bidi/>
      </w:pPr>
      <w:r>
        <w:rPr>
          <w:rFonts w:ascii="arial" w:hAnsi="arial" w:eastAsia="arial" w:cs="arial"/>
          <w:sz w:val="28"/>
          <w:szCs w:val="28"/>
          <w:b w:val="1"/>
          <w:bCs w:val="1"/>
          <w:rtl/>
        </w:rPr>
        <w:t xml:space="preserve">محمود التونسي
</w:t>
      </w:r>
    </w:p>
    <w:p>
      <w:pPr/>
      <w:r>
        <w:rPr/>
        <w:t xml:space="preserve">محمود التونسي  محمود بن محمود التونسي: مفني الحنفية. مولده ووفاته بتونس. تعلم بجامع الزيتونة، ودرس فيه. وولي أعمالا متعددة. وناب عن تونس في مؤتمر المستشرقين بباريس (سنة 1896) وعين قاضيا للحنفية ثم مفتيا وتراس اللجنة التي صنفت (فهرس المكتبة الصادقية-ط) ثم اللجنة التي نظمت كتب خزانة الجامع الأعظم. </w:t>
      </w:r>
    </w:p>
    <w:p>
      <w:pPr>
        <w:jc w:val="start"/>
        <w:bidi/>
      </w:pPr>
      <w:r>
        <w:rPr>
          <w:sz w:val="24"/>
          <w:szCs w:val="24"/>
          <w:b w:val="1"/>
          <w:bCs w:val="1"/>
          <w:rtl/>
        </w:rPr>
        <w:t xml:space="preserve">
الأعلام،(دار العلم للملايين - بيروت،2002،ط 15،ج 7،ص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2026-07-27T13:14:35+03:00</dcterms:created>
  <dcterms:modified xsi:type="dcterms:W3CDTF">2026-07-27T13:14:35+03:00</dcterms:modified>
</cp:coreProperties>
</file>

<file path=docProps/custom.xml><?xml version="1.0" encoding="utf-8"?>
<Properties xmlns="http://schemas.openxmlformats.org/officeDocument/2006/custom-properties" xmlns:vt="http://schemas.openxmlformats.org/officeDocument/2006/docPropsVTypes"/>
</file>