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أيوب الكردي المعروف بالخصي
</w:t>
      </w:r>
    </w:p>
    <w:p>
      <w:pPr>
        <w:jc w:val="start"/>
        <w:bidi/>
      </w:pPr>
      <w:r>
        <w:rPr>
          <w:rFonts w:ascii="arial" w:hAnsi="arial" w:eastAsia="arial" w:cs="arial"/>
          <w:sz w:val="28"/>
          <w:szCs w:val="28"/>
          <w:b w:val="1"/>
          <w:bCs w:val="1"/>
          <w:rtl/>
        </w:rPr>
        <w:t xml:space="preserve">أيوب الكردي المعروف بالخصي
</w:t>
      </w:r>
    </w:p>
    <w:p>
      <w:pPr/>
      <w:r>
        <w:rPr/>
        <w:t xml:space="preserve">أيوب الكردي المعروف بالخصي أيوب الكردي المعروف بالخصي أحد المعتقدين بدمشق ويذكر عنه مكاشفات وكرامات وشطحات وكانت له زاوية بقصر الجنيد بدمشق ثم تحول إلى غزة في سنة 699 ثم تحول إلى مصر فأقام بزاوية كان عمرها ابن قرمان مجاورة لداره بالحسينية قرتب له عشرين رطل خبز وراويتي ماء وشرع الأمراء والناس يزورونه وكان من شرطه أن من زاره إن لم يحضر معه شيء لا يكلمه ولا يدعو له وكان لا يوقر أحدا وربما دعا مقلوبا ثم خرج مع العسكر إلى التتر فوقف في الصف وهو عريان فلما وقعت الكسرة على الميسرة سقط عن فرسه فبقي مطرقا فيقال إن بعض المسلمين قتله ظنا منه أنه من التتر فاستمر طريحا إلى أن مات بعد أيام فدفن وذلك في شهر رمضان سنة 702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2026-05-24T20:11:57+03:00</dcterms:created>
  <dcterms:modified xsi:type="dcterms:W3CDTF">2026-05-24T20:11:57+03:00</dcterms:modified>
</cp:coreProperties>
</file>

<file path=docProps/custom.xml><?xml version="1.0" encoding="utf-8"?>
<Properties xmlns="http://schemas.openxmlformats.org/officeDocument/2006/custom-properties" xmlns:vt="http://schemas.openxmlformats.org/officeDocument/2006/docPropsVTypes"/>
</file>