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مازن الهواري
</w:t>
      </w:r>
    </w:p>
    <w:p>
      <w:pPr>
        <w:jc w:val="start"/>
        <w:bidi/>
      </w:pPr>
      <w:r>
        <w:rPr>
          <w:rFonts w:ascii="arial" w:hAnsi="arial" w:eastAsia="arial" w:cs="arial"/>
          <w:sz w:val="28"/>
          <w:szCs w:val="28"/>
          <w:b w:val="1"/>
          <w:bCs w:val="1"/>
          <w:rtl/>
        </w:rPr>
        <w:t xml:space="preserve">إسماعيل بن مازن الهواري
</w:t>
      </w:r>
    </w:p>
    <w:p>
      <w:pPr/>
      <w:r>
        <w:rPr/>
        <w:t xml:space="preserve">إسماعيل بن مازن الهواري إسماعيل بن مازن الهواري أحد أكابر أمراء العرب بصعيد مصر الأعلى مات في سنة 789 وخلف أموالا كثيرة جدا فندب القاضي الشافعي أمين الحكم أن يتكلم في تركته فجرت له كائنة مع أهل الدولة إلى أن عزل القاضي وأمين الحكم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2026-05-10T18:49:06+03:00</dcterms:created>
  <dcterms:modified xsi:type="dcterms:W3CDTF">2026-05-10T18:49:06+03:00</dcterms:modified>
</cp:coreProperties>
</file>

<file path=docProps/custom.xml><?xml version="1.0" encoding="utf-8"?>
<Properties xmlns="http://schemas.openxmlformats.org/officeDocument/2006/custom-properties" xmlns:vt="http://schemas.openxmlformats.org/officeDocument/2006/docPropsVTypes"/>
</file>