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يحيى بن إسماعيل بن طاهر بن نصر
</w:t>
      </w:r>
    </w:p>
    <w:p>
      <w:pPr>
        <w:jc w:val="start"/>
        <w:bidi/>
      </w:pPr>
      <w:r>
        <w:rPr>
          <w:rFonts w:ascii="arial" w:hAnsi="arial" w:eastAsia="arial" w:cs="arial"/>
          <w:sz w:val="28"/>
          <w:szCs w:val="28"/>
          <w:b w:val="1"/>
          <w:bCs w:val="1"/>
          <w:rtl/>
        </w:rPr>
        <w:t xml:space="preserve">أحمد بن يحيى بن إسماعيل بن طاهر بن نصر
</w:t>
      </w:r>
    </w:p>
    <w:p>
      <w:pPr/>
      <w:r>
        <w:rPr/>
        <w:t xml:space="preserve">أحمد بن يحيى بن إسماعيل بن طاهر بن نصر أحمد بن يحيى بن إسماعيل بن طاهر بن نصر بن جهبل الحلبي ثم الدمشقي الشافعي ولد سنة 670 وتفقه على المقدسي وابن الوكيل وابن النقيب وسمع الحديث من الفخر والفاروتي وغيرهما وولى تدريس الصلاحية بالقدس مدة ثم تركها وسكن دمشق ودرس بالبادرائية بدمشق بعد الشيخ برهان الدين وولي مشيخة الحديث بالظاهرية ثم تركها فأخذها الذهبي قال ابن كثير كان من أعيان الفقهاء ولم يأخذ معلوما من البادرائية ولا من الظاهرية وقال الذهبي كان فيه خير وتعبد وله محاسن وفضائل وفطنة وتقدم في العلم بالفروع وقال ابن الكتبي كان عالما ورعا ولما مرض تصدق كثيرا حتى بثيابه ومات في جمادى الآخرة سنة 733 قلت حدثنا عنه بالسماع شيخنا البرهان الشامي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2026-07-27T13:49:53+03:00</dcterms:created>
  <dcterms:modified xsi:type="dcterms:W3CDTF">2026-07-27T13:49:53+03:00</dcterms:modified>
</cp:coreProperties>
</file>

<file path=docProps/custom.xml><?xml version="1.0" encoding="utf-8"?>
<Properties xmlns="http://schemas.openxmlformats.org/officeDocument/2006/custom-properties" xmlns:vt="http://schemas.openxmlformats.org/officeDocument/2006/docPropsVTypes"/>
</file>