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الرعيني أبو جعفر
</w:t>
      </w:r>
    </w:p>
    <w:p>
      <w:pPr>
        <w:jc w:val="start"/>
        <w:bidi/>
      </w:pPr>
      <w:r>
        <w:rPr>
          <w:rFonts w:ascii="arial" w:hAnsi="arial" w:eastAsia="arial" w:cs="arial"/>
          <w:sz w:val="28"/>
          <w:szCs w:val="28"/>
          <w:b w:val="1"/>
          <w:bCs w:val="1"/>
          <w:rtl/>
        </w:rPr>
        <w:t xml:space="preserve">أحمد بن محمد بن أحمد الرعيني أبو جعفر
</w:t>
      </w:r>
    </w:p>
    <w:p>
      <w:pPr/>
      <w:r>
        <w:rPr/>
        <w:t xml:space="preserve">أحمد بن محمد بن أحمد الرعيني أبو جعفر أحمد بن محمد بن أحمد الرعيني أبو جعفر ولد سنة 701 وقرأ على الأستاذ أبي الحسن الفنجاطي وغيره وكان حسن الخط يكتب عقود الإجازات مع معرفة بالعربية ومشاركة في الفقه ثم ولي القضاء ببعض البلاد وكانت وفاته في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الرعيني، يعرف بنسبه. أبو جعفر
</w:t>
      </w:r>
    </w:p>
    <w:p>
      <w:pPr/>
      <w:r>
        <w:rPr/>
        <w:t xml:space="preserve">أحمد بن محمد بن أحمد الرعيني، يعرف بنسبه. أبو جعفر. كان من أهل الفضل والظرف، عارفا بالعربية، مشاركا في الفقه، متدربا في الأحكام.</w:t>
      </w:r>
    </w:p>
    <w:p/>
    <w:p>
      <w:pPr/>
      <w:r>
        <w:rPr/>
        <w:t xml:space="preserve">قرأ على أبي حسن القيجاطي، وابن النخار، وكان قاضيا.</w:t>
      </w:r>
    </w:p>
    <w:p/>
    <w:p>
      <w:pPr/>
      <w:r>
        <w:rPr/>
        <w:t xml:space="preserve">ود سنة 701 وتوفي سنة 744.</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2026-07-27T09:15:21+03:00</dcterms:created>
  <dcterms:modified xsi:type="dcterms:W3CDTF">2026-07-27T09:15:21+03:00</dcterms:modified>
</cp:coreProperties>
</file>

<file path=docProps/custom.xml><?xml version="1.0" encoding="utf-8"?>
<Properties xmlns="http://schemas.openxmlformats.org/officeDocument/2006/custom-properties" xmlns:vt="http://schemas.openxmlformats.org/officeDocument/2006/docPropsVTypes"/>
</file>