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عتيق التريافي
</w:t>
      </w:r>
    </w:p>
    <w:p>
      <w:pPr>
        <w:jc w:val="start"/>
        <w:bidi/>
      </w:pPr>
      <w:r>
        <w:rPr>
          <w:rFonts w:ascii="arial" w:hAnsi="arial" w:eastAsia="arial" w:cs="arial"/>
          <w:sz w:val="28"/>
          <w:szCs w:val="28"/>
          <w:b w:val="1"/>
          <w:bCs w:val="1"/>
          <w:rtl/>
        </w:rPr>
        <w:t xml:space="preserve">أحمد بن علي بن عتيق التريافي
</w:t>
      </w:r>
    </w:p>
    <w:p>
      <w:pPr/>
      <w:r>
        <w:rPr/>
        <w:t xml:space="preserve">أحمد بن علي بن عتيق التريافي أحمد بن علي بن عتيق التريافي يقال له اشكمدز الغرناطي أبو جعفر كان من أهل الخير والعدالة عارفا بالوثائق دمث الأخلاق خطب بالجامع وأم به وكان قد أخذ عن أبي جعفر بن الطباع وغيره ومات في رجب سنة 710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2026-07-27T10:21:16+03:00</dcterms:created>
  <dcterms:modified xsi:type="dcterms:W3CDTF">2026-07-27T10:21:16+03:00</dcterms:modified>
</cp:coreProperties>
</file>

<file path=docProps/custom.xml><?xml version="1.0" encoding="utf-8"?>
<Properties xmlns="http://schemas.openxmlformats.org/officeDocument/2006/custom-properties" xmlns:vt="http://schemas.openxmlformats.org/officeDocument/2006/docPropsVTypes"/>
</file>