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حسن بن حسين بن صبح الكردي
</w:t>
      </w:r>
    </w:p>
    <w:p>
      <w:pPr>
        <w:jc w:val="start"/>
        <w:bidi/>
      </w:pPr>
      <w:r>
        <w:rPr>
          <w:rFonts w:ascii="arial" w:hAnsi="arial" w:eastAsia="arial" w:cs="arial"/>
          <w:sz w:val="28"/>
          <w:szCs w:val="28"/>
          <w:b w:val="1"/>
          <w:bCs w:val="1"/>
          <w:rtl/>
        </w:rPr>
        <w:t xml:space="preserve">أحمد بن علي بن حسن بن حسين بن صبح الكردي
</w:t>
      </w:r>
    </w:p>
    <w:p>
      <w:pPr/>
      <w:r>
        <w:rPr/>
        <w:t xml:space="preserve">أحمد بن علي بن حسن بن حسين بن صبح الكردي أحمد بن علي بن حسن بن حسين بن صبح الكردي ثم الدمشقي شهاب الدين الأمير أحضر على التقي سليمان وتعانى الجندية ثم قدم مصر فولي الكشف بالوجه البحري ثم قرر والي الولاة بالشام ثم ولي تقدمة ألف وحج بالناس سنة 45 ثم ولي نيابة غزة سنة 52 ثم صفد ثم ولي حاجب الحجاب بدمشق ثم سجن بالإسكندرية ثم أطلق بعد قتل الناصر حسن وخرج. . إلى حلب بأمرة طبلخاناة ثم قرر والي الولاة بحوران ثم نيابة القلعة وله بصفد جامع وكان مشكور السيرة في ولاياته صارما مهابا مات في ربيع الآخر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2026-07-25T03:07:23+03:00</dcterms:created>
  <dcterms:modified xsi:type="dcterms:W3CDTF">2026-07-25T03:07:23+03:00</dcterms:modified>
</cp:coreProperties>
</file>

<file path=docProps/custom.xml><?xml version="1.0" encoding="utf-8"?>
<Properties xmlns="http://schemas.openxmlformats.org/officeDocument/2006/custom-properties" xmlns:vt="http://schemas.openxmlformats.org/officeDocument/2006/docPropsVTypes"/>
</file>