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يونس الأنصاري الغرناطي
</w:t>
      </w:r>
    </w:p>
    <w:p>
      <w:pPr>
        <w:jc w:val="start"/>
        <w:bidi/>
      </w:pPr>
      <w:r>
        <w:rPr>
          <w:rFonts w:ascii="arial" w:hAnsi="arial" w:eastAsia="arial" w:cs="arial"/>
          <w:sz w:val="28"/>
          <w:szCs w:val="28"/>
          <w:b w:val="1"/>
          <w:bCs w:val="1"/>
          <w:rtl/>
        </w:rPr>
        <w:t xml:space="preserve">أحمد بن عبد الله بن يونس الأنصاري الغرناطي
</w:t>
      </w:r>
    </w:p>
    <w:p>
      <w:pPr/>
      <w:r>
        <w:rPr/>
        <w:t xml:space="preserve">أحمد بن عبد الله بن يونس الأنصاري الغرناطي أحمد بن عبد الله بن يونس الأنصاري الغرناطي أبو جعفر كان بصيرا بالأحكام كثير التأني والإقدام على ما يحجم عنه غيره ناب عن القضاة فما حمدوه وتأثل مالا ظاهرا وكانت له مشاركة في علم اللسان ومعرفة بالفقه واضطلاع بالمسائل وقعد بمسجد الربض يتكلم على العامة بلسان جهوري في عارضة وصلابة ومات في صفر سنة 759 ذكره ابن الخطيب وقال كان عارفا بالوثائق مع المشاركة في العربية والمعرفة بالأحكام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2026-07-27T14:07:37+03:00</dcterms:created>
  <dcterms:modified xsi:type="dcterms:W3CDTF">2026-07-27T14:07:37+03:00</dcterms:modified>
</cp:coreProperties>
</file>

<file path=docProps/custom.xml><?xml version="1.0" encoding="utf-8"?>
<Properties xmlns="http://schemas.openxmlformats.org/officeDocument/2006/custom-properties" xmlns:vt="http://schemas.openxmlformats.org/officeDocument/2006/docPropsVTypes"/>
</file>