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الحميد بن علي بن داود
</w:t>
      </w:r>
    </w:p>
    <w:p>
      <w:pPr>
        <w:jc w:val="start"/>
        <w:bidi/>
      </w:pPr>
      <w:r>
        <w:rPr>
          <w:rFonts w:ascii="arial" w:hAnsi="arial" w:eastAsia="arial" w:cs="arial"/>
          <w:sz w:val="28"/>
          <w:szCs w:val="28"/>
          <w:b w:val="1"/>
          <w:bCs w:val="1"/>
          <w:rtl/>
        </w:rPr>
        <w:t xml:space="preserve">أحمد بن عبد الحميد بن علي بن داود
</w:t>
      </w:r>
    </w:p>
    <w:p>
      <w:pPr/>
      <w:r>
        <w:rPr/>
        <w:t xml:space="preserve">أحمد بن عبد الحميد بن علي بن داود أحمد بن عبد الحميد بن علي بن داود الهذلي الصعيدي ثم الأرمني سراج الدين ولد بأرمنت من صعيد مصر الأعلى سنة 644 واشتغل بقوص فأخذ عن الشيخ مجد الدين القشيري وأذن له في الفتوى ثم قدم مصر فأخذ عن علمائها وأعاد بمدرسة زين التجار وسمع من ... وصنف التصانيف منها المسائل المهمة في اختلاف الأئمة ومنها كتاب الجمع والفرق وباشر قضاء قوص وغيرها وكان مشكور السيرة قال الأسنوي كان في الفقه إماما مع فضيلة تامة في الأصول والنحو وغير ذلك وعمر إلى أن لم يبق بمصر في الفتوى أقدم منه وكان حسن المحاضرة يحسن الأدب ونظم الشعر وأقام بقوص إلى أن لسعه ثعبان بظاهر قوص فمات في ربيع الآخر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2026-07-27T14:26:33+03:00</dcterms:created>
  <dcterms:modified xsi:type="dcterms:W3CDTF">2026-07-27T14:26:33+03:00</dcterms:modified>
</cp:coreProperties>
</file>

<file path=docProps/custom.xml><?xml version="1.0" encoding="utf-8"?>
<Properties xmlns="http://schemas.openxmlformats.org/officeDocument/2006/custom-properties" xmlns:vt="http://schemas.openxmlformats.org/officeDocument/2006/docPropsVTypes"/>
</file>