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بن أحمد بن عتبة بن هبة الله
</w:t>
      </w:r>
    </w:p>
    <w:p>
      <w:pPr>
        <w:jc w:val="start"/>
        <w:bidi/>
      </w:pPr>
      <w:r>
        <w:rPr>
          <w:rFonts w:ascii="arial" w:hAnsi="arial" w:eastAsia="arial" w:cs="arial"/>
          <w:sz w:val="28"/>
          <w:szCs w:val="28"/>
          <w:b w:val="1"/>
          <w:bCs w:val="1"/>
          <w:rtl/>
        </w:rPr>
        <w:t xml:space="preserve">أحمد بن إبراهيم بن أحمد بن عتبة بن هبة الله
</w:t>
      </w:r>
    </w:p>
    <w:p>
      <w:pPr/>
      <w:r>
        <w:rPr/>
        <w:t xml:space="preserve">أحمد بن إبراهيم بن أحمد بن عتبة بن هبة الله أحمد بن إبراهيم بن أحمد بن عتبة بن هبة الله بن عطاء بن ياسين الفقيه الحنفي البصروي ولد في أوائل سنة ثلاثين وستمائة ومات في 23 ذي الحجة سنة ثمان عشرة وسبعمائة قد حدث عن خطيب مردا قال أبو الحسين بن أيبك وكان شيخا فقيها فاضلا درس وأفتى</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2026-07-27T11:33:32+03:00</dcterms:created>
  <dcterms:modified xsi:type="dcterms:W3CDTF">2026-07-27T11:33:32+03:00</dcterms:modified>
</cp:coreProperties>
</file>

<file path=docProps/custom.xml><?xml version="1.0" encoding="utf-8"?>
<Properties xmlns="http://schemas.openxmlformats.org/officeDocument/2006/custom-properties" xmlns:vt="http://schemas.openxmlformats.org/officeDocument/2006/docPropsVTypes"/>
</file>