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قيس بن مسعود المرادي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قيس بن مسعود المرادي
</w:t>
      </w:r>
    </w:p>
    <w:p>
      <w:pPr/>
      <w:r>
        <w:rPr/>
        <w:t xml:space="preserve">عمرو بن قيس بن مسعود المرادي. يقول يرثي امرأته:</w:t>
      </w:r>
    </w:p>
    <w:p/>
    <w:p>
      <w:pPr>
        <w:jc w:val="center"/>
      </w:pPr>
      <w:r>
        <w:rPr>
          <w:color w:val="ff0000"/>
        </w:rPr>
        <w:t xml:space="preserve">سعيد قومي على سعدى فبكيها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فلست محصية كل الذي فيها</w:t>
      </w:r>
    </w:p>
    <w:p/>
    <w:p>
      <w:pPr>
        <w:jc w:val="center"/>
      </w:pPr>
      <w:r>
        <w:rPr>
          <w:color w:val="ff0000"/>
        </w:rPr>
        <w:t xml:space="preserve">في مأتم كرياض الروض قد قرحت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البكاء على سعدى مآقيها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2026-07-27T14:25:58+03:00</dcterms:created>
  <dcterms:modified xsi:type="dcterms:W3CDTF">2026-07-27T14:25:58+03:00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