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لأي بن موألة بن عائذ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لأي بن موألة بن عائذ بن ثعلبة
</w:t>
      </w:r>
    </w:p>
    <w:p>
      <w:pPr/>
      <w:r>
        <w:rPr/>
        <w:t xml:space="preserve">عمرو بن لأي بن موألة بن عائذ بن ثعلبة من بني تيم الله بن ثعلبة، الذي يقول:</w:t>
      </w:r>
    </w:p>
    <w:p/>
    <w:p>
      <w:pPr>
        <w:jc w:val="center"/>
      </w:pPr>
      <w:r>
        <w:rPr>
          <w:color w:val="ff0000"/>
        </w:rPr>
        <w:t xml:space="preserve">عمرو بن هند إن مهلكة</w:t>
      </w:r>
      <w:r>
        <w:rPr>
          <w:color w:val="ff0000"/>
        </w:rPr>
        <w:t xml:space="preserve">      </w:t>
      </w:r>
      <w:r>
        <w:rPr>
          <w:color w:val="ff0000"/>
        </w:rPr>
        <w:t xml:space="preserve">قول السفاه وشدة الغشم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2026-07-27T18:19:37+03:00</dcterms:created>
  <dcterms:modified xsi:type="dcterms:W3CDTF">2026-07-27T18:19:37+03:00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