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الهيثم بن القاسم أبو جعفر الجوري
</w:t>
      </w:r>
    </w:p>
    <w:p>
      <w:pPr>
        <w:jc w:val="start"/>
        <w:bidi/>
      </w:pPr>
      <w:r>
        <w:rPr>
          <w:rFonts w:ascii="arial" w:hAnsi="arial" w:eastAsia="arial" w:cs="arial"/>
          <w:sz w:val="28"/>
          <w:szCs w:val="28"/>
          <w:b w:val="1"/>
          <w:bCs w:val="1"/>
          <w:rtl/>
        </w:rPr>
        <w:t xml:space="preserve">محمد بن الهيثم بن القاسم أبو جعفر الجوري
</w:t>
      </w:r>
    </w:p>
    <w:p>
      <w:pPr/>
      <w:r>
        <w:rPr/>
        <w:t xml:space="preserve">محمد بن الهيثم بن القاسم أبو جعفر الجوري حدثنا محمد بن الهيثم بالبصرة، حدثنا موسى بن هارون، حدثنا محمد بن الصلت، حدثنا أبو كدينة، عن قابوس بن أبي ظبيان، عن أبيه، عن ابن عباس، قال: خرج النبي صلى الله عليه وسلم فقال: «لا يجتمع قبلتان في قرية وليس على مسلم جزية»</w:t>
      </w:r>
    </w:p>
    <w:p>
      <w:pPr>
        <w:jc w:val="start"/>
        <w:bidi/>
      </w:pPr>
      <w:r>
        <w:rPr>
          <w:sz w:val="24"/>
          <w:szCs w:val="24"/>
          <w:b w:val="1"/>
          <w:bCs w:val="1"/>
          <w:rtl/>
        </w:rPr>
        <w:t xml:space="preserve">
معجم الشيوخ للصيداوي،(مؤسسة الرسالة , دار الإيمان - بيروت , طرابلس،0،ط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2026-07-27T11:28:03+03:00</dcterms:created>
  <dcterms:modified xsi:type="dcterms:W3CDTF">2026-07-27T11:28:03+03:00</dcterms:modified>
</cp:coreProperties>
</file>

<file path=docProps/custom.xml><?xml version="1.0" encoding="utf-8"?>
<Properties xmlns="http://schemas.openxmlformats.org/officeDocument/2006/custom-properties" xmlns:vt="http://schemas.openxmlformats.org/officeDocument/2006/docPropsVTypes"/>
</file>