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ياسين الحمصي
</w:t>
      </w:r>
    </w:p>
    <w:p>
      <w:pPr>
        <w:jc w:val="start"/>
        <w:bidi/>
      </w:pPr>
      <w:r>
        <w:rPr>
          <w:rFonts w:ascii="arial" w:hAnsi="arial" w:eastAsia="arial" w:cs="arial"/>
          <w:sz w:val="28"/>
          <w:szCs w:val="28"/>
          <w:b w:val="1"/>
          <w:bCs w:val="1"/>
          <w:rtl/>
        </w:rPr>
        <w:t xml:space="preserve">محمد بن سعيد بن ياسين الحمصي
</w:t>
      </w:r>
    </w:p>
    <w:p>
      <w:pPr/>
      <w:r>
        <w:rPr/>
        <w:t xml:space="preserve">محمد بن سعيد بن ياسين الحمصي حدثنا محمد بن سعيد، حدثنا الحسين بن محمد بن إبراهيم أبو علي، حدثنا يحيى بن عثمان، حدثنا زيد بن يحيى بن عبيد، عن سعيد بن عبد العزيز، حدثنا سليمان بن موسى، عن عمرو بن شعيب، عن أبيه، عن جده، أن النبي صلى الله عليه وسلم قال: «لا يجوز شهادة خائن ولا خائنة ولا زانية ولا ذي غمر على أخيه في الإسلام»</w:t>
      </w:r>
    </w:p>
    <w:p>
      <w:pPr>
        <w:jc w:val="start"/>
        <w:bidi/>
      </w:pPr>
      <w:r>
        <w:rPr>
          <w:sz w:val="24"/>
          <w:szCs w:val="24"/>
          <w:b w:val="1"/>
          <w:bCs w:val="1"/>
          <w:rtl/>
        </w:rPr>
        <w:t xml:space="preserve">
معجم الشيوخ للصيداوي،(مؤسسة الرسالة , دار الإيمان - بيروت , طرابلس،0،ط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2026-07-27T13:31:55+03:00</dcterms:created>
  <dcterms:modified xsi:type="dcterms:W3CDTF">2026-07-27T13:31:55+03:00</dcterms:modified>
</cp:coreProperties>
</file>

<file path=docProps/custom.xml><?xml version="1.0" encoding="utf-8"?>
<Properties xmlns="http://schemas.openxmlformats.org/officeDocument/2006/custom-properties" xmlns:vt="http://schemas.openxmlformats.org/officeDocument/2006/docPropsVTypes"/>
</file>