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محمد الهادي بن أبي القاسم بن نفيس الكربلائي العراقي الحسيني: جد العراقيين الحسينيين بفاس، وأول قادم منهم عليها من العراق. كان أديبا عالما، لقي صفي الدين الحلي وسمع منه بعض شعره. كان قدومه على فاس في أواخر خلافة السلطان أبي سعيد عثمان ابن أبي يوسف المريني، في أوائل المائة الثامنة. عمر فيها.</w:t>
      </w:r>
    </w:p>
    <w:p/>
    <w:p>
      <w:pPr/>
      <w:r>
        <w:rPr/>
        <w:t xml:space="preserve">وكان حيا في خلافة السلطان أبي سالم المستعين بالله، المبايع سنة 760 هـ وفي بفاس ودفن في مطرح الجنة خارج باب الفتوح.</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2026-07-27T08:37:57+03:00</dcterms:created>
  <dcterms:modified xsi:type="dcterms:W3CDTF">2026-07-27T08:37:57+03:00</dcterms:modified>
</cp:coreProperties>
</file>

<file path=docProps/custom.xml><?xml version="1.0" encoding="utf-8"?>
<Properties xmlns="http://schemas.openxmlformats.org/officeDocument/2006/custom-properties" xmlns:vt="http://schemas.openxmlformats.org/officeDocument/2006/docPropsVTypes"/>
</file>